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10" w:rsidRPr="00533668" w:rsidRDefault="00190E10">
      <w:pPr>
        <w:pStyle w:val="Heading1"/>
        <w:rPr>
          <w:szCs w:val="22"/>
        </w:rPr>
      </w:pPr>
      <w:r w:rsidRPr="00533668">
        <w:rPr>
          <w:szCs w:val="22"/>
        </w:rPr>
        <w:t>NOTES TO THE QUARTERLY REPORT</w:t>
      </w:r>
    </w:p>
    <w:p w:rsidR="00190E10" w:rsidRPr="00533668" w:rsidRDefault="00190E10">
      <w:pPr>
        <w:rPr>
          <w:sz w:val="22"/>
          <w:szCs w:val="22"/>
        </w:rPr>
      </w:pPr>
    </w:p>
    <w:p w:rsidR="00D67945" w:rsidRPr="00533668" w:rsidRDefault="00D67945">
      <w:pPr>
        <w:rPr>
          <w:sz w:val="22"/>
          <w:szCs w:val="22"/>
        </w:rPr>
      </w:pPr>
    </w:p>
    <w:p w:rsidR="00190E10" w:rsidRPr="00533668" w:rsidRDefault="00190E10">
      <w:pPr>
        <w:ind w:left="720" w:hanging="720"/>
        <w:jc w:val="both"/>
        <w:rPr>
          <w:b/>
          <w:i/>
          <w:iCs/>
          <w:sz w:val="22"/>
          <w:szCs w:val="22"/>
        </w:rPr>
      </w:pPr>
      <w:r w:rsidRPr="00533668">
        <w:rPr>
          <w:b/>
          <w:i/>
          <w:iCs/>
          <w:sz w:val="22"/>
          <w:szCs w:val="22"/>
        </w:rPr>
        <w:t>A.</w:t>
      </w:r>
      <w:r w:rsidRPr="00533668">
        <w:rPr>
          <w:b/>
          <w:i/>
          <w:iCs/>
          <w:sz w:val="22"/>
          <w:szCs w:val="22"/>
        </w:rPr>
        <w:tab/>
        <w:t>Selected explanatory notes pursuant to FRS 134 Interim Financial Reporting</w:t>
      </w:r>
    </w:p>
    <w:p w:rsidR="00190E10" w:rsidRPr="00533668" w:rsidRDefault="00190E10">
      <w:pPr>
        <w:ind w:left="360"/>
        <w:jc w:val="both"/>
        <w:rPr>
          <w:b/>
          <w:i/>
          <w:iCs/>
          <w:sz w:val="22"/>
          <w:szCs w:val="22"/>
        </w:rPr>
      </w:pPr>
    </w:p>
    <w:p w:rsidR="00190E10" w:rsidRPr="00533668" w:rsidRDefault="00190E10">
      <w:pPr>
        <w:ind w:left="360"/>
        <w:jc w:val="both"/>
        <w:rPr>
          <w:b/>
          <w:i/>
          <w:iCs/>
          <w:sz w:val="22"/>
          <w:szCs w:val="22"/>
        </w:rPr>
      </w:pPr>
    </w:p>
    <w:p w:rsidR="00190E10" w:rsidRPr="00533668" w:rsidRDefault="00190E10">
      <w:pPr>
        <w:pStyle w:val="Heading1"/>
        <w:tabs>
          <w:tab w:val="left" w:pos="720"/>
        </w:tabs>
        <w:rPr>
          <w:szCs w:val="22"/>
        </w:rPr>
      </w:pPr>
      <w:r w:rsidRPr="00533668">
        <w:rPr>
          <w:szCs w:val="22"/>
        </w:rPr>
        <w:t>A1.</w:t>
      </w:r>
      <w:r w:rsidRPr="00533668">
        <w:rPr>
          <w:szCs w:val="22"/>
        </w:rPr>
        <w:tab/>
        <w:t>Accounting Policies</w:t>
      </w:r>
    </w:p>
    <w:p w:rsidR="00190E10" w:rsidRPr="00533668" w:rsidRDefault="00190E10">
      <w:pPr>
        <w:jc w:val="both"/>
        <w:rPr>
          <w:sz w:val="22"/>
          <w:szCs w:val="22"/>
        </w:rPr>
      </w:pPr>
    </w:p>
    <w:p w:rsidR="00190E10" w:rsidRPr="00533668" w:rsidRDefault="00190E10">
      <w:pPr>
        <w:ind w:left="720"/>
        <w:jc w:val="both"/>
        <w:rPr>
          <w:sz w:val="22"/>
          <w:szCs w:val="22"/>
        </w:rPr>
      </w:pPr>
      <w:r w:rsidRPr="00533668">
        <w:rPr>
          <w:sz w:val="22"/>
          <w:szCs w:val="22"/>
        </w:rPr>
        <w:t>The interim condensed financial statements are prepared in compliance with FRS 134,</w:t>
      </w:r>
      <w:r w:rsidR="00893730" w:rsidRPr="00533668">
        <w:rPr>
          <w:sz w:val="22"/>
          <w:szCs w:val="22"/>
        </w:rPr>
        <w:t xml:space="preserve"> </w:t>
      </w:r>
      <w:r w:rsidR="000919AE" w:rsidRPr="00533668">
        <w:rPr>
          <w:sz w:val="22"/>
          <w:szCs w:val="22"/>
        </w:rPr>
        <w:t>“</w:t>
      </w:r>
      <w:r w:rsidRPr="00533668">
        <w:rPr>
          <w:sz w:val="22"/>
          <w:szCs w:val="22"/>
        </w:rPr>
        <w:t xml:space="preserve">Interim Financial Reporting” and </w:t>
      </w:r>
      <w:r w:rsidR="00095BF3">
        <w:rPr>
          <w:sz w:val="22"/>
          <w:szCs w:val="22"/>
        </w:rPr>
        <w:t>Appendix B</w:t>
      </w:r>
      <w:r w:rsidRPr="00533668">
        <w:rPr>
          <w:sz w:val="22"/>
          <w:szCs w:val="22"/>
        </w:rPr>
        <w:t xml:space="preserve"> of the Listing Requirements of Bursa Malaysia Securities Berhad.  </w:t>
      </w:r>
    </w:p>
    <w:p w:rsidR="00190E10" w:rsidRPr="00533668" w:rsidRDefault="00190E10">
      <w:pPr>
        <w:ind w:left="720"/>
        <w:jc w:val="both"/>
        <w:rPr>
          <w:sz w:val="22"/>
          <w:szCs w:val="22"/>
        </w:rPr>
      </w:pPr>
    </w:p>
    <w:p w:rsidR="00190E10" w:rsidRPr="00533668" w:rsidRDefault="00190E10">
      <w:pPr>
        <w:ind w:left="720"/>
        <w:jc w:val="both"/>
        <w:rPr>
          <w:sz w:val="22"/>
          <w:szCs w:val="22"/>
        </w:rPr>
      </w:pPr>
      <w:r w:rsidRPr="00533668">
        <w:rPr>
          <w:sz w:val="22"/>
          <w:szCs w:val="22"/>
        </w:rPr>
        <w:t>The interim condensed financial statements have been prepared based on accounting policies and methods of computation which are consistent with those adopted in the preparation of the audited financial statements for</w:t>
      </w:r>
      <w:r w:rsidR="00893730" w:rsidRPr="00533668">
        <w:rPr>
          <w:sz w:val="22"/>
          <w:szCs w:val="22"/>
        </w:rPr>
        <w:t xml:space="preserve"> the year ended 31 December 20</w:t>
      </w:r>
      <w:r w:rsidR="00DE5A06">
        <w:rPr>
          <w:sz w:val="22"/>
          <w:szCs w:val="22"/>
        </w:rPr>
        <w:t>1</w:t>
      </w:r>
      <w:r w:rsidR="00A3583C">
        <w:rPr>
          <w:sz w:val="22"/>
          <w:szCs w:val="22"/>
        </w:rPr>
        <w:t>3</w:t>
      </w:r>
      <w:r w:rsidR="00893730" w:rsidRPr="00533668">
        <w:rPr>
          <w:sz w:val="22"/>
          <w:szCs w:val="22"/>
        </w:rPr>
        <w:t>.</w:t>
      </w:r>
    </w:p>
    <w:p w:rsidR="00190E10" w:rsidRPr="00533668" w:rsidRDefault="00190E10">
      <w:pPr>
        <w:ind w:left="720"/>
        <w:jc w:val="both"/>
        <w:rPr>
          <w:sz w:val="22"/>
          <w:szCs w:val="22"/>
        </w:rPr>
      </w:pPr>
    </w:p>
    <w:p w:rsidR="00190E10" w:rsidRPr="00533668" w:rsidRDefault="00190E10">
      <w:pPr>
        <w:ind w:left="720"/>
        <w:jc w:val="both"/>
        <w:rPr>
          <w:sz w:val="22"/>
          <w:szCs w:val="22"/>
        </w:rPr>
      </w:pPr>
    </w:p>
    <w:p w:rsidR="00190E10" w:rsidRDefault="00190E10" w:rsidP="008F3F02">
      <w:pPr>
        <w:pStyle w:val="Heading1"/>
        <w:tabs>
          <w:tab w:val="left" w:pos="720"/>
        </w:tabs>
        <w:rPr>
          <w:bCs/>
          <w:szCs w:val="22"/>
        </w:rPr>
      </w:pPr>
      <w:r w:rsidRPr="00533668">
        <w:rPr>
          <w:bCs/>
          <w:szCs w:val="22"/>
        </w:rPr>
        <w:t>A2.</w:t>
      </w:r>
      <w:r w:rsidRPr="00533668">
        <w:rPr>
          <w:bCs/>
          <w:szCs w:val="22"/>
        </w:rPr>
        <w:tab/>
        <w:t>Changes in Accounting Policies</w:t>
      </w:r>
      <w:r w:rsidR="00172C37">
        <w:rPr>
          <w:bCs/>
          <w:szCs w:val="22"/>
        </w:rPr>
        <w:t xml:space="preserve"> </w:t>
      </w:r>
    </w:p>
    <w:p w:rsidR="008F3F02" w:rsidRPr="008F3F02" w:rsidRDefault="008F3F02" w:rsidP="008F3F02"/>
    <w:p w:rsidR="009C5A73" w:rsidRPr="00667B03" w:rsidRDefault="009C5A73" w:rsidP="00BB1C01">
      <w:pPr>
        <w:autoSpaceDE w:val="0"/>
        <w:autoSpaceDN w:val="0"/>
        <w:adjustRightInd w:val="0"/>
        <w:ind w:left="720"/>
        <w:jc w:val="both"/>
        <w:rPr>
          <w:sz w:val="22"/>
          <w:szCs w:val="22"/>
        </w:rPr>
      </w:pPr>
      <w:r w:rsidRPr="00667B03">
        <w:rPr>
          <w:sz w:val="22"/>
          <w:szCs w:val="22"/>
        </w:rPr>
        <w:t>The significant accounting policies adopted are consistent with those of the audited financial statements for the financial year ended 31 December 201</w:t>
      </w:r>
      <w:r w:rsidR="00A3583C">
        <w:rPr>
          <w:sz w:val="22"/>
          <w:szCs w:val="22"/>
        </w:rPr>
        <w:t>3</w:t>
      </w:r>
      <w:r w:rsidR="00BB1C01" w:rsidRPr="00667B03">
        <w:rPr>
          <w:sz w:val="22"/>
          <w:szCs w:val="22"/>
        </w:rPr>
        <w:t>, except for the adoption of the following new FRSs</w:t>
      </w:r>
      <w:r w:rsidR="0095647A" w:rsidRPr="00667B03">
        <w:rPr>
          <w:sz w:val="22"/>
          <w:szCs w:val="22"/>
        </w:rPr>
        <w:t>, Amendments to FRS</w:t>
      </w:r>
      <w:r w:rsidR="0071742F">
        <w:rPr>
          <w:sz w:val="22"/>
          <w:szCs w:val="22"/>
        </w:rPr>
        <w:t>s</w:t>
      </w:r>
      <w:r w:rsidR="0095647A" w:rsidRPr="00667B03">
        <w:rPr>
          <w:sz w:val="22"/>
          <w:szCs w:val="22"/>
        </w:rPr>
        <w:t>,</w:t>
      </w:r>
      <w:r w:rsidR="00BB1C01" w:rsidRPr="00667B03">
        <w:rPr>
          <w:sz w:val="22"/>
          <w:szCs w:val="22"/>
        </w:rPr>
        <w:t xml:space="preserve"> and IC Interpretations that are effective for the Group from 1 January 201</w:t>
      </w:r>
      <w:r w:rsidR="00A3583C">
        <w:rPr>
          <w:sz w:val="22"/>
          <w:szCs w:val="22"/>
        </w:rPr>
        <w:t>4</w:t>
      </w:r>
      <w:r w:rsidR="00BB1C01" w:rsidRPr="00667B03">
        <w:rPr>
          <w:sz w:val="22"/>
          <w:szCs w:val="22"/>
        </w:rPr>
        <w:t>:</w:t>
      </w:r>
    </w:p>
    <w:p w:rsidR="00E82C6D" w:rsidRPr="00667B03" w:rsidRDefault="00E82C6D" w:rsidP="00BB1C01">
      <w:pPr>
        <w:tabs>
          <w:tab w:val="left" w:pos="2415"/>
        </w:tabs>
        <w:ind w:left="720"/>
        <w:jc w:val="both"/>
        <w:rPr>
          <w:sz w:val="22"/>
          <w:szCs w:val="22"/>
          <w:lang w:eastAsia="zh-CN"/>
        </w:rPr>
      </w:pPr>
    </w:p>
    <w:tbl>
      <w:tblPr>
        <w:tblW w:w="9450" w:type="dxa"/>
        <w:tblInd w:w="738" w:type="dxa"/>
        <w:tblLayout w:type="fixed"/>
        <w:tblLook w:val="01E0"/>
      </w:tblPr>
      <w:tblGrid>
        <w:gridCol w:w="7560"/>
        <w:gridCol w:w="1890"/>
      </w:tblGrid>
      <w:tr w:rsidR="0071742F" w:rsidRPr="00667B03" w:rsidTr="0071742F">
        <w:tblPrEx>
          <w:tblCellMar>
            <w:top w:w="0" w:type="dxa"/>
            <w:bottom w:w="0" w:type="dxa"/>
          </w:tblCellMar>
        </w:tblPrEx>
        <w:tc>
          <w:tcPr>
            <w:tcW w:w="7560" w:type="dxa"/>
          </w:tcPr>
          <w:p w:rsidR="0071742F" w:rsidRPr="00667B03" w:rsidRDefault="0071742F" w:rsidP="0071742F">
            <w:pPr>
              <w:ind w:right="-108"/>
              <w:rPr>
                <w:b/>
                <w:spacing w:val="-3"/>
                <w:sz w:val="22"/>
                <w:szCs w:val="22"/>
              </w:rPr>
            </w:pPr>
            <w:r w:rsidRPr="00667B03">
              <w:rPr>
                <w:b/>
                <w:spacing w:val="-3"/>
                <w:sz w:val="22"/>
                <w:szCs w:val="22"/>
              </w:rPr>
              <w:t>FRSs and IC Interpretations (Including The Consequential Amendments)</w:t>
            </w:r>
          </w:p>
        </w:tc>
        <w:tc>
          <w:tcPr>
            <w:tcW w:w="1890" w:type="dxa"/>
          </w:tcPr>
          <w:p w:rsidR="0071742F" w:rsidRPr="00667B03" w:rsidRDefault="0071742F" w:rsidP="00EB2A88">
            <w:pPr>
              <w:jc w:val="right"/>
              <w:rPr>
                <w:b/>
                <w:spacing w:val="-3"/>
                <w:sz w:val="22"/>
                <w:szCs w:val="22"/>
              </w:rPr>
            </w:pPr>
          </w:p>
        </w:tc>
      </w:tr>
      <w:tr w:rsidR="0071742F" w:rsidRPr="00667B03" w:rsidTr="0071742F">
        <w:tblPrEx>
          <w:tblCellMar>
            <w:top w:w="0" w:type="dxa"/>
            <w:bottom w:w="0" w:type="dxa"/>
          </w:tblCellMar>
        </w:tblPrEx>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blPrEx>
          <w:tblCellMar>
            <w:top w:w="0" w:type="dxa"/>
            <w:bottom w:w="0" w:type="dxa"/>
          </w:tblCellMar>
        </w:tblPrEx>
        <w:tc>
          <w:tcPr>
            <w:tcW w:w="7560" w:type="dxa"/>
          </w:tcPr>
          <w:p w:rsidR="0071742F" w:rsidRPr="00667B03" w:rsidRDefault="008F3F02" w:rsidP="008F3F02">
            <w:pPr>
              <w:rPr>
                <w:spacing w:val="-3"/>
                <w:sz w:val="22"/>
                <w:szCs w:val="22"/>
              </w:rPr>
            </w:pPr>
            <w:r>
              <w:rPr>
                <w:spacing w:val="-3"/>
                <w:sz w:val="22"/>
                <w:szCs w:val="22"/>
              </w:rPr>
              <w:t xml:space="preserve">Amendments to FRS 10, </w:t>
            </w:r>
            <w:r w:rsidR="0071742F" w:rsidRPr="00667B03">
              <w:rPr>
                <w:spacing w:val="-3"/>
                <w:sz w:val="22"/>
                <w:szCs w:val="22"/>
              </w:rPr>
              <w:t>FRS 1</w:t>
            </w:r>
            <w:r>
              <w:rPr>
                <w:spacing w:val="-3"/>
                <w:sz w:val="22"/>
                <w:szCs w:val="22"/>
              </w:rPr>
              <w:t>2</w:t>
            </w:r>
            <w:r w:rsidR="0071742F" w:rsidRPr="00667B03">
              <w:rPr>
                <w:spacing w:val="-3"/>
                <w:sz w:val="22"/>
                <w:szCs w:val="22"/>
              </w:rPr>
              <w:t xml:space="preserve"> </w:t>
            </w:r>
            <w:r>
              <w:rPr>
                <w:spacing w:val="-3"/>
                <w:sz w:val="22"/>
                <w:szCs w:val="22"/>
              </w:rPr>
              <w:t>and FRS 127 (2011) : Investment Entities</w:t>
            </w:r>
          </w:p>
        </w:tc>
        <w:tc>
          <w:tcPr>
            <w:tcW w:w="1890" w:type="dxa"/>
          </w:tcPr>
          <w:p w:rsidR="0071742F" w:rsidRPr="00667B03" w:rsidRDefault="0071742F" w:rsidP="00EB2A88">
            <w:pPr>
              <w:jc w:val="right"/>
              <w:rPr>
                <w:spacing w:val="-3"/>
                <w:sz w:val="22"/>
                <w:szCs w:val="22"/>
              </w:rPr>
            </w:pPr>
          </w:p>
        </w:tc>
      </w:tr>
      <w:tr w:rsidR="0071742F" w:rsidRPr="00667B03" w:rsidTr="0071742F">
        <w:tblPrEx>
          <w:tblCellMar>
            <w:top w:w="0" w:type="dxa"/>
            <w:bottom w:w="0" w:type="dxa"/>
          </w:tblCellMar>
        </w:tblPrEx>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blPrEx>
          <w:tblCellMar>
            <w:top w:w="0" w:type="dxa"/>
            <w:bottom w:w="0" w:type="dxa"/>
          </w:tblCellMar>
        </w:tblPrEx>
        <w:tc>
          <w:tcPr>
            <w:tcW w:w="7560" w:type="dxa"/>
          </w:tcPr>
          <w:p w:rsidR="0071742F" w:rsidRPr="00667B03" w:rsidRDefault="008F3F02" w:rsidP="008F3F02">
            <w:pPr>
              <w:rPr>
                <w:spacing w:val="-3"/>
                <w:sz w:val="22"/>
                <w:szCs w:val="22"/>
              </w:rPr>
            </w:pPr>
            <w:r>
              <w:rPr>
                <w:spacing w:val="-3"/>
                <w:sz w:val="22"/>
                <w:szCs w:val="22"/>
              </w:rPr>
              <w:t>Amendments to FRS 132 : Offsetting Financial Assets and Financial Liabilities</w:t>
            </w:r>
          </w:p>
        </w:tc>
        <w:tc>
          <w:tcPr>
            <w:tcW w:w="1890" w:type="dxa"/>
          </w:tcPr>
          <w:p w:rsidR="0071742F" w:rsidRPr="00667B03" w:rsidRDefault="0071742F" w:rsidP="00EB2A88">
            <w:pPr>
              <w:jc w:val="right"/>
              <w:rPr>
                <w:spacing w:val="-3"/>
                <w:sz w:val="22"/>
                <w:szCs w:val="22"/>
              </w:rPr>
            </w:pPr>
          </w:p>
        </w:tc>
      </w:tr>
      <w:tr w:rsidR="0071742F" w:rsidRPr="00667B03" w:rsidTr="0071742F">
        <w:tblPrEx>
          <w:tblCellMar>
            <w:top w:w="0" w:type="dxa"/>
            <w:bottom w:w="0" w:type="dxa"/>
          </w:tblCellMar>
        </w:tblPrEx>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blPrEx>
          <w:tblCellMar>
            <w:top w:w="0" w:type="dxa"/>
            <w:bottom w:w="0" w:type="dxa"/>
          </w:tblCellMar>
        </w:tblPrEx>
        <w:tc>
          <w:tcPr>
            <w:tcW w:w="7560" w:type="dxa"/>
          </w:tcPr>
          <w:p w:rsidR="0071742F" w:rsidRPr="00667B03" w:rsidRDefault="008F3F02" w:rsidP="008F3F02">
            <w:pPr>
              <w:rPr>
                <w:spacing w:val="-3"/>
                <w:sz w:val="22"/>
                <w:szCs w:val="22"/>
              </w:rPr>
            </w:pPr>
            <w:r>
              <w:rPr>
                <w:spacing w:val="-3"/>
                <w:sz w:val="22"/>
                <w:szCs w:val="22"/>
              </w:rPr>
              <w:t>Amendments to FRS 136 : Recoverable Amount Disclosures for Non-financial Assets</w:t>
            </w:r>
          </w:p>
        </w:tc>
        <w:tc>
          <w:tcPr>
            <w:tcW w:w="1890" w:type="dxa"/>
          </w:tcPr>
          <w:p w:rsidR="0071742F" w:rsidRPr="00667B03" w:rsidRDefault="0071742F" w:rsidP="00EB2A88">
            <w:pPr>
              <w:jc w:val="right"/>
              <w:rPr>
                <w:spacing w:val="-3"/>
                <w:sz w:val="22"/>
                <w:szCs w:val="22"/>
              </w:rPr>
            </w:pPr>
          </w:p>
        </w:tc>
      </w:tr>
      <w:tr w:rsidR="0071742F" w:rsidRPr="00667B03" w:rsidTr="0071742F">
        <w:tblPrEx>
          <w:tblCellMar>
            <w:top w:w="0" w:type="dxa"/>
            <w:bottom w:w="0" w:type="dxa"/>
          </w:tblCellMar>
        </w:tblPrEx>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blPrEx>
          <w:tblCellMar>
            <w:top w:w="0" w:type="dxa"/>
            <w:bottom w:w="0" w:type="dxa"/>
          </w:tblCellMar>
        </w:tblPrEx>
        <w:tc>
          <w:tcPr>
            <w:tcW w:w="7560" w:type="dxa"/>
          </w:tcPr>
          <w:p w:rsidR="0071742F" w:rsidRPr="00667B03" w:rsidRDefault="008F3F02" w:rsidP="008F3F02">
            <w:pPr>
              <w:rPr>
                <w:spacing w:val="-3"/>
                <w:sz w:val="22"/>
                <w:szCs w:val="22"/>
              </w:rPr>
            </w:pPr>
            <w:r>
              <w:rPr>
                <w:spacing w:val="-3"/>
                <w:sz w:val="22"/>
                <w:szCs w:val="22"/>
              </w:rPr>
              <w:t>Amendments to FRS 139 : Novation of Derivatives and Continuation of Hedge Accounting</w:t>
            </w:r>
          </w:p>
        </w:tc>
        <w:tc>
          <w:tcPr>
            <w:tcW w:w="1890" w:type="dxa"/>
          </w:tcPr>
          <w:p w:rsidR="0071742F" w:rsidRPr="00667B03" w:rsidRDefault="0071742F" w:rsidP="00EB2A88">
            <w:pPr>
              <w:jc w:val="right"/>
              <w:rPr>
                <w:spacing w:val="-3"/>
                <w:sz w:val="22"/>
                <w:szCs w:val="22"/>
              </w:rPr>
            </w:pPr>
          </w:p>
        </w:tc>
      </w:tr>
      <w:tr w:rsidR="0071742F" w:rsidRPr="00667B03" w:rsidTr="0071742F">
        <w:tblPrEx>
          <w:tblCellMar>
            <w:top w:w="0" w:type="dxa"/>
            <w:bottom w:w="0" w:type="dxa"/>
          </w:tblCellMar>
        </w:tblPrEx>
        <w:tc>
          <w:tcPr>
            <w:tcW w:w="7560" w:type="dxa"/>
          </w:tcPr>
          <w:p w:rsidR="0071742F" w:rsidRPr="00667B03" w:rsidRDefault="0071742F" w:rsidP="0071742F">
            <w:pPr>
              <w:rPr>
                <w:spacing w:val="-3"/>
                <w:sz w:val="22"/>
                <w:szCs w:val="22"/>
              </w:rPr>
            </w:pPr>
          </w:p>
        </w:tc>
        <w:tc>
          <w:tcPr>
            <w:tcW w:w="1890" w:type="dxa"/>
          </w:tcPr>
          <w:p w:rsidR="0071742F" w:rsidRPr="00667B03" w:rsidRDefault="0071742F" w:rsidP="00EB2A88">
            <w:pPr>
              <w:jc w:val="right"/>
              <w:rPr>
                <w:spacing w:val="-3"/>
                <w:sz w:val="22"/>
                <w:szCs w:val="22"/>
              </w:rPr>
            </w:pPr>
          </w:p>
        </w:tc>
      </w:tr>
      <w:tr w:rsidR="0071742F" w:rsidRPr="00667B03" w:rsidTr="0071742F">
        <w:tblPrEx>
          <w:tblCellMar>
            <w:top w:w="0" w:type="dxa"/>
            <w:bottom w:w="0" w:type="dxa"/>
          </w:tblCellMar>
        </w:tblPrEx>
        <w:tc>
          <w:tcPr>
            <w:tcW w:w="7560" w:type="dxa"/>
          </w:tcPr>
          <w:p w:rsidR="0071742F" w:rsidRPr="00667B03" w:rsidRDefault="008F3F02" w:rsidP="008F3F02">
            <w:pPr>
              <w:rPr>
                <w:spacing w:val="-3"/>
                <w:sz w:val="22"/>
                <w:szCs w:val="22"/>
              </w:rPr>
            </w:pPr>
            <w:r>
              <w:rPr>
                <w:spacing w:val="-3"/>
                <w:sz w:val="22"/>
                <w:szCs w:val="22"/>
              </w:rPr>
              <w:t>IC Interpretation 21 Levies</w:t>
            </w:r>
          </w:p>
        </w:tc>
        <w:tc>
          <w:tcPr>
            <w:tcW w:w="1890" w:type="dxa"/>
          </w:tcPr>
          <w:p w:rsidR="0071742F" w:rsidRPr="00667B03" w:rsidRDefault="0071742F" w:rsidP="00EB2A88">
            <w:pPr>
              <w:jc w:val="right"/>
              <w:rPr>
                <w:spacing w:val="-3"/>
                <w:sz w:val="22"/>
                <w:szCs w:val="22"/>
              </w:rPr>
            </w:pPr>
          </w:p>
        </w:tc>
      </w:tr>
    </w:tbl>
    <w:p w:rsidR="00E06236" w:rsidRDefault="00E06236" w:rsidP="00BB1C01">
      <w:pPr>
        <w:ind w:left="720"/>
        <w:jc w:val="both"/>
        <w:rPr>
          <w:sz w:val="22"/>
          <w:szCs w:val="22"/>
        </w:rPr>
      </w:pPr>
    </w:p>
    <w:p w:rsidR="00BB1C01" w:rsidRPr="00667B03" w:rsidRDefault="00BB1C01" w:rsidP="00BB1C01">
      <w:pPr>
        <w:ind w:left="720"/>
        <w:jc w:val="both"/>
        <w:rPr>
          <w:sz w:val="22"/>
          <w:szCs w:val="22"/>
        </w:rPr>
      </w:pPr>
      <w:r w:rsidRPr="00BB5D76">
        <w:rPr>
          <w:sz w:val="22"/>
          <w:szCs w:val="22"/>
        </w:rPr>
        <w:t>The above accounting standards and interpretations (including the consequential amendments) do not have any material impact on the Group’s financial statements</w:t>
      </w:r>
      <w:r w:rsidR="0095647A" w:rsidRPr="00BB5D76">
        <w:rPr>
          <w:sz w:val="22"/>
          <w:szCs w:val="22"/>
        </w:rPr>
        <w:t>.</w:t>
      </w:r>
    </w:p>
    <w:p w:rsidR="009C5A73" w:rsidRPr="00667B03" w:rsidRDefault="009C5A73" w:rsidP="009C5A73">
      <w:pPr>
        <w:autoSpaceDE w:val="0"/>
        <w:autoSpaceDN w:val="0"/>
        <w:adjustRightInd w:val="0"/>
        <w:jc w:val="both"/>
        <w:rPr>
          <w:sz w:val="22"/>
          <w:szCs w:val="22"/>
        </w:rPr>
      </w:pPr>
    </w:p>
    <w:p w:rsidR="00143B50" w:rsidRDefault="00143B50" w:rsidP="00143B50">
      <w:pPr>
        <w:autoSpaceDE w:val="0"/>
        <w:autoSpaceDN w:val="0"/>
        <w:adjustRightInd w:val="0"/>
        <w:ind w:left="720"/>
        <w:jc w:val="both"/>
        <w:rPr>
          <w:sz w:val="22"/>
          <w:szCs w:val="22"/>
        </w:rPr>
      </w:pPr>
      <w:r>
        <w:rPr>
          <w:sz w:val="22"/>
          <w:szCs w:val="22"/>
        </w:rPr>
        <w:t>T</w:t>
      </w:r>
      <w:r w:rsidR="009C5A73" w:rsidRPr="00667B03">
        <w:rPr>
          <w:sz w:val="22"/>
          <w:szCs w:val="22"/>
        </w:rPr>
        <w:t xml:space="preserve">he Malaysian Accounting Standards Board (“MASB”) </w:t>
      </w:r>
      <w:r>
        <w:rPr>
          <w:sz w:val="22"/>
          <w:szCs w:val="22"/>
        </w:rPr>
        <w:t xml:space="preserve">has </w:t>
      </w:r>
      <w:r w:rsidR="009C5A73" w:rsidRPr="00667B03">
        <w:rPr>
          <w:sz w:val="22"/>
          <w:szCs w:val="22"/>
        </w:rPr>
        <w:t>issued a new MASB approved accounting framework, the Malaysian Financial Reporting Standards Framework (“MFRS</w:t>
      </w:r>
      <w:r w:rsidR="00835FF8">
        <w:rPr>
          <w:sz w:val="22"/>
          <w:szCs w:val="22"/>
        </w:rPr>
        <w:t>s</w:t>
      </w:r>
      <w:r w:rsidR="009C5A73" w:rsidRPr="00667B03">
        <w:rPr>
          <w:sz w:val="22"/>
          <w:szCs w:val="22"/>
        </w:rPr>
        <w:t>”)</w:t>
      </w:r>
      <w:r>
        <w:rPr>
          <w:sz w:val="22"/>
          <w:szCs w:val="22"/>
        </w:rPr>
        <w:t xml:space="preserve"> </w:t>
      </w:r>
      <w:r w:rsidR="00835FF8">
        <w:rPr>
          <w:sz w:val="22"/>
          <w:szCs w:val="22"/>
        </w:rPr>
        <w:t xml:space="preserve">that are </w:t>
      </w:r>
      <w:r>
        <w:rPr>
          <w:sz w:val="22"/>
          <w:szCs w:val="22"/>
        </w:rPr>
        <w:t xml:space="preserve">to be applied by all entities other than private entities; with the exception of entities that are within the scope of MFRS 141 (Agriculture) </w:t>
      </w:r>
      <w:r w:rsidR="00835FF8">
        <w:rPr>
          <w:sz w:val="22"/>
          <w:szCs w:val="22"/>
        </w:rPr>
        <w:t>and IC Interpretation15 (Agreements for Construction of Real Estate), including its parent, significant investor and venture (herein called “</w:t>
      </w:r>
      <w:r>
        <w:rPr>
          <w:sz w:val="22"/>
          <w:szCs w:val="22"/>
        </w:rPr>
        <w:t>t</w:t>
      </w:r>
      <w:r w:rsidR="00835FF8">
        <w:rPr>
          <w:sz w:val="22"/>
          <w:szCs w:val="22"/>
        </w:rPr>
        <w:t xml:space="preserve">ransitioning </w:t>
      </w:r>
      <w:r>
        <w:rPr>
          <w:sz w:val="22"/>
          <w:szCs w:val="22"/>
        </w:rPr>
        <w:t>e</w:t>
      </w:r>
      <w:r w:rsidR="00835FF8">
        <w:rPr>
          <w:sz w:val="22"/>
          <w:szCs w:val="22"/>
        </w:rPr>
        <w:t>ntities”).</w:t>
      </w:r>
    </w:p>
    <w:p w:rsidR="00143B50" w:rsidRDefault="00143B50" w:rsidP="00143B50">
      <w:pPr>
        <w:autoSpaceDE w:val="0"/>
        <w:autoSpaceDN w:val="0"/>
        <w:adjustRightInd w:val="0"/>
        <w:ind w:left="720"/>
        <w:jc w:val="both"/>
        <w:rPr>
          <w:sz w:val="22"/>
          <w:szCs w:val="22"/>
        </w:rPr>
      </w:pPr>
    </w:p>
    <w:p w:rsidR="00143B50" w:rsidRDefault="00143B50" w:rsidP="00143B50">
      <w:pPr>
        <w:autoSpaceDE w:val="0"/>
        <w:autoSpaceDN w:val="0"/>
        <w:adjustRightInd w:val="0"/>
        <w:ind w:left="720"/>
        <w:jc w:val="both"/>
        <w:rPr>
          <w:sz w:val="22"/>
          <w:szCs w:val="22"/>
        </w:rPr>
      </w:pPr>
      <w:r>
        <w:rPr>
          <w:sz w:val="22"/>
          <w:szCs w:val="22"/>
        </w:rPr>
        <w:t>As announced by MASB on 2 September 2014, the transitioning entities are allowed to defer the adoption of MFRSs to annual periods beginning on or after 1 January 2017.</w:t>
      </w:r>
    </w:p>
    <w:p w:rsidR="00143B50" w:rsidRDefault="00143B50" w:rsidP="00143B50">
      <w:pPr>
        <w:autoSpaceDE w:val="0"/>
        <w:autoSpaceDN w:val="0"/>
        <w:adjustRightInd w:val="0"/>
        <w:ind w:left="720"/>
        <w:jc w:val="both"/>
        <w:rPr>
          <w:sz w:val="22"/>
          <w:szCs w:val="22"/>
        </w:rPr>
      </w:pPr>
    </w:p>
    <w:p w:rsidR="008C21C8" w:rsidRDefault="00143B50" w:rsidP="00B20E69">
      <w:pPr>
        <w:autoSpaceDE w:val="0"/>
        <w:autoSpaceDN w:val="0"/>
        <w:adjustRightInd w:val="0"/>
        <w:ind w:left="720"/>
        <w:jc w:val="distribute"/>
        <w:rPr>
          <w:sz w:val="22"/>
          <w:szCs w:val="22"/>
        </w:rPr>
      </w:pPr>
      <w:r>
        <w:rPr>
          <w:sz w:val="22"/>
          <w:szCs w:val="22"/>
        </w:rPr>
        <w:t xml:space="preserve">Accordingly, as a transitioning entity as defined above, the Group has chosen to defer the adoption of MFRSs and will only prepare its first set of MFRS financial statements for the financial year ending </w:t>
      </w:r>
      <w:r w:rsidR="00B20E69">
        <w:rPr>
          <w:sz w:val="22"/>
          <w:szCs w:val="22"/>
        </w:rPr>
        <w:t>31 December 2017. The Group</w:t>
      </w:r>
      <w:r w:rsidR="00C82300">
        <w:rPr>
          <w:sz w:val="22"/>
          <w:szCs w:val="22"/>
        </w:rPr>
        <w:t xml:space="preserve"> </w:t>
      </w:r>
      <w:r w:rsidR="00B20E69">
        <w:rPr>
          <w:sz w:val="22"/>
          <w:szCs w:val="22"/>
        </w:rPr>
        <w:t>is</w:t>
      </w:r>
      <w:r w:rsidR="00835FF8">
        <w:rPr>
          <w:sz w:val="22"/>
          <w:szCs w:val="22"/>
        </w:rPr>
        <w:t xml:space="preserve"> </w:t>
      </w:r>
      <w:r w:rsidR="00C82300">
        <w:rPr>
          <w:sz w:val="22"/>
          <w:szCs w:val="22"/>
        </w:rPr>
        <w:t>currently assessing the possible</w:t>
      </w:r>
    </w:p>
    <w:p w:rsidR="008C21C8" w:rsidRDefault="008C21C8" w:rsidP="008C21C8">
      <w:pPr>
        <w:pStyle w:val="Heading1"/>
        <w:tabs>
          <w:tab w:val="left" w:pos="720"/>
        </w:tabs>
        <w:rPr>
          <w:bCs/>
          <w:szCs w:val="22"/>
        </w:rPr>
      </w:pPr>
      <w:r w:rsidRPr="00533668">
        <w:rPr>
          <w:bCs/>
          <w:szCs w:val="22"/>
        </w:rPr>
        <w:lastRenderedPageBreak/>
        <w:t>A2.</w:t>
      </w:r>
      <w:r w:rsidRPr="00533668">
        <w:rPr>
          <w:bCs/>
          <w:szCs w:val="22"/>
        </w:rPr>
        <w:tab/>
        <w:t>Changes in Accounting Policies</w:t>
      </w:r>
      <w:r>
        <w:rPr>
          <w:bCs/>
          <w:szCs w:val="22"/>
        </w:rPr>
        <w:t xml:space="preserve"> (cont’d)</w:t>
      </w:r>
    </w:p>
    <w:p w:rsidR="008C21C8" w:rsidRDefault="008C21C8" w:rsidP="008C21C8">
      <w:pPr>
        <w:autoSpaceDE w:val="0"/>
        <w:autoSpaceDN w:val="0"/>
        <w:adjustRightInd w:val="0"/>
        <w:ind w:left="720"/>
        <w:jc w:val="both"/>
        <w:rPr>
          <w:sz w:val="22"/>
          <w:szCs w:val="22"/>
        </w:rPr>
      </w:pPr>
    </w:p>
    <w:tbl>
      <w:tblPr>
        <w:tblW w:w="9450" w:type="dxa"/>
        <w:tblInd w:w="738" w:type="dxa"/>
        <w:tblLayout w:type="fixed"/>
        <w:tblLook w:val="01E0"/>
      </w:tblPr>
      <w:tblGrid>
        <w:gridCol w:w="7560"/>
        <w:gridCol w:w="1890"/>
      </w:tblGrid>
      <w:tr w:rsidR="008C21C8" w:rsidRPr="00667B03" w:rsidTr="00622EE2">
        <w:tblPrEx>
          <w:tblCellMar>
            <w:top w:w="0" w:type="dxa"/>
            <w:bottom w:w="0" w:type="dxa"/>
          </w:tblCellMar>
        </w:tblPrEx>
        <w:tc>
          <w:tcPr>
            <w:tcW w:w="7560" w:type="dxa"/>
          </w:tcPr>
          <w:p w:rsidR="008C21C8" w:rsidRPr="00667B03" w:rsidRDefault="008C21C8" w:rsidP="00622EE2">
            <w:pPr>
              <w:ind w:right="-108"/>
              <w:rPr>
                <w:b/>
                <w:spacing w:val="-3"/>
                <w:sz w:val="22"/>
                <w:szCs w:val="22"/>
              </w:rPr>
            </w:pPr>
            <w:r w:rsidRPr="00667B03">
              <w:rPr>
                <w:b/>
                <w:spacing w:val="-3"/>
                <w:sz w:val="22"/>
                <w:szCs w:val="22"/>
              </w:rPr>
              <w:t>FRSs and IC Interpretations (Including The Consequential Amendments)</w:t>
            </w:r>
            <w:r>
              <w:rPr>
                <w:b/>
                <w:spacing w:val="-3"/>
                <w:sz w:val="22"/>
                <w:szCs w:val="22"/>
              </w:rPr>
              <w:t xml:space="preserve"> (cont’d)</w:t>
            </w:r>
          </w:p>
        </w:tc>
        <w:tc>
          <w:tcPr>
            <w:tcW w:w="1890" w:type="dxa"/>
          </w:tcPr>
          <w:p w:rsidR="008C21C8" w:rsidRPr="00667B03" w:rsidRDefault="008C21C8" w:rsidP="00622EE2">
            <w:pPr>
              <w:jc w:val="right"/>
              <w:rPr>
                <w:b/>
                <w:spacing w:val="-3"/>
                <w:sz w:val="22"/>
                <w:szCs w:val="22"/>
              </w:rPr>
            </w:pPr>
          </w:p>
        </w:tc>
      </w:tr>
    </w:tbl>
    <w:p w:rsidR="008C21C8" w:rsidRDefault="008C21C8" w:rsidP="00E82C6D">
      <w:pPr>
        <w:autoSpaceDE w:val="0"/>
        <w:autoSpaceDN w:val="0"/>
        <w:adjustRightInd w:val="0"/>
        <w:ind w:left="720"/>
        <w:jc w:val="both"/>
        <w:rPr>
          <w:sz w:val="22"/>
          <w:szCs w:val="22"/>
        </w:rPr>
      </w:pPr>
    </w:p>
    <w:p w:rsidR="008C21C8" w:rsidRDefault="00B20E69" w:rsidP="00E82C6D">
      <w:pPr>
        <w:autoSpaceDE w:val="0"/>
        <w:autoSpaceDN w:val="0"/>
        <w:adjustRightInd w:val="0"/>
        <w:ind w:left="720"/>
        <w:jc w:val="both"/>
        <w:rPr>
          <w:sz w:val="22"/>
          <w:szCs w:val="22"/>
        </w:rPr>
      </w:pPr>
      <w:r>
        <w:rPr>
          <w:sz w:val="22"/>
          <w:szCs w:val="22"/>
        </w:rPr>
        <w:t>financial impacts that may arise from the adoption of MFRSs and the process is still ongoing.</w:t>
      </w:r>
    </w:p>
    <w:p w:rsidR="00BB5D76" w:rsidRDefault="00BB5D76" w:rsidP="00E82C6D">
      <w:pPr>
        <w:autoSpaceDE w:val="0"/>
        <w:autoSpaceDN w:val="0"/>
        <w:adjustRightInd w:val="0"/>
        <w:ind w:left="720"/>
        <w:jc w:val="both"/>
        <w:rPr>
          <w:sz w:val="22"/>
          <w:szCs w:val="22"/>
        </w:rPr>
      </w:pPr>
    </w:p>
    <w:p w:rsidR="00190E10" w:rsidRPr="00533668" w:rsidRDefault="00190E10">
      <w:pPr>
        <w:pStyle w:val="Heading1"/>
        <w:tabs>
          <w:tab w:val="left" w:pos="720"/>
        </w:tabs>
        <w:rPr>
          <w:bCs/>
          <w:szCs w:val="22"/>
        </w:rPr>
      </w:pPr>
      <w:r w:rsidRPr="00533668">
        <w:rPr>
          <w:bCs/>
          <w:szCs w:val="22"/>
        </w:rPr>
        <w:t>A3.</w:t>
      </w:r>
      <w:r w:rsidRPr="00533668">
        <w:rPr>
          <w:bCs/>
          <w:szCs w:val="22"/>
        </w:rPr>
        <w:tab/>
        <w:t>Audit Report</w:t>
      </w:r>
    </w:p>
    <w:p w:rsidR="00190E10" w:rsidRPr="00D83253" w:rsidRDefault="00190E10">
      <w:pPr>
        <w:tabs>
          <w:tab w:val="left" w:pos="360"/>
        </w:tabs>
        <w:ind w:left="360"/>
        <w:jc w:val="both"/>
        <w:rPr>
          <w:sz w:val="22"/>
          <w:szCs w:val="22"/>
        </w:rPr>
      </w:pPr>
    </w:p>
    <w:p w:rsidR="00190E10" w:rsidRPr="00533668" w:rsidRDefault="00190E10">
      <w:pPr>
        <w:pStyle w:val="BodyText31"/>
        <w:rPr>
          <w:szCs w:val="22"/>
        </w:rPr>
      </w:pPr>
      <w:r w:rsidRPr="00533668">
        <w:rPr>
          <w:szCs w:val="22"/>
        </w:rPr>
        <w:t>The auditors’ report on the preceding year’s annual financial statements was not subject to any qualification.</w:t>
      </w:r>
    </w:p>
    <w:p w:rsidR="00190E10" w:rsidRDefault="00190E10">
      <w:pPr>
        <w:pStyle w:val="BodyTextIndent"/>
        <w:ind w:left="0"/>
        <w:jc w:val="both"/>
        <w:rPr>
          <w:b/>
          <w:sz w:val="22"/>
          <w:szCs w:val="22"/>
        </w:rPr>
      </w:pPr>
    </w:p>
    <w:p w:rsidR="003A2908" w:rsidRPr="00533668" w:rsidRDefault="003A2908">
      <w:pPr>
        <w:pStyle w:val="BodyTextIndent"/>
        <w:ind w:left="0"/>
        <w:jc w:val="both"/>
        <w:rPr>
          <w:b/>
          <w:sz w:val="22"/>
          <w:szCs w:val="22"/>
        </w:rPr>
      </w:pPr>
    </w:p>
    <w:p w:rsidR="00190E10" w:rsidRPr="00533668" w:rsidRDefault="00190E10">
      <w:pPr>
        <w:pStyle w:val="BodyTextIndent"/>
        <w:tabs>
          <w:tab w:val="clear" w:pos="360"/>
          <w:tab w:val="left" w:pos="720"/>
        </w:tabs>
        <w:ind w:left="0"/>
        <w:jc w:val="both"/>
        <w:rPr>
          <w:b/>
          <w:sz w:val="22"/>
          <w:szCs w:val="22"/>
        </w:rPr>
      </w:pPr>
      <w:r w:rsidRPr="00533668">
        <w:rPr>
          <w:b/>
          <w:sz w:val="22"/>
          <w:szCs w:val="22"/>
        </w:rPr>
        <w:t>A4.</w:t>
      </w:r>
      <w:r w:rsidRPr="00533668">
        <w:rPr>
          <w:b/>
          <w:sz w:val="22"/>
          <w:szCs w:val="22"/>
        </w:rPr>
        <w:tab/>
        <w:t>Seasonal And Cyclical Factors</w:t>
      </w:r>
    </w:p>
    <w:p w:rsidR="00190E10" w:rsidRPr="00533668" w:rsidRDefault="00190E10">
      <w:pPr>
        <w:pStyle w:val="BodyTextIndent"/>
        <w:jc w:val="both"/>
        <w:rPr>
          <w:sz w:val="22"/>
          <w:szCs w:val="22"/>
        </w:rPr>
      </w:pPr>
    </w:p>
    <w:p w:rsidR="00190E10" w:rsidRPr="00533668" w:rsidRDefault="00190E10">
      <w:pPr>
        <w:tabs>
          <w:tab w:val="left" w:pos="360"/>
        </w:tabs>
        <w:ind w:left="720"/>
        <w:jc w:val="both"/>
        <w:rPr>
          <w:b/>
          <w:sz w:val="22"/>
          <w:szCs w:val="22"/>
        </w:rPr>
      </w:pPr>
      <w:r w:rsidRPr="00533668">
        <w:rPr>
          <w:sz w:val="22"/>
          <w:szCs w:val="22"/>
        </w:rPr>
        <w:t>Seasonal or cyclical factors do not significantly affect the principal business operations of the Group.</w:t>
      </w:r>
    </w:p>
    <w:p w:rsidR="00667B03" w:rsidRDefault="00667B03">
      <w:pPr>
        <w:tabs>
          <w:tab w:val="left" w:pos="360"/>
        </w:tabs>
        <w:jc w:val="both"/>
        <w:rPr>
          <w:b/>
          <w:sz w:val="22"/>
          <w:szCs w:val="22"/>
        </w:rPr>
      </w:pPr>
    </w:p>
    <w:p w:rsidR="003A2908" w:rsidRPr="00533668" w:rsidRDefault="003A2908">
      <w:pPr>
        <w:tabs>
          <w:tab w:val="left" w:pos="360"/>
        </w:tabs>
        <w:jc w:val="both"/>
        <w:rPr>
          <w:b/>
          <w:sz w:val="22"/>
          <w:szCs w:val="22"/>
        </w:rPr>
      </w:pPr>
    </w:p>
    <w:p w:rsidR="00190E10" w:rsidRPr="00533668" w:rsidRDefault="00190E10">
      <w:pPr>
        <w:tabs>
          <w:tab w:val="left" w:pos="360"/>
        </w:tabs>
        <w:jc w:val="both"/>
        <w:rPr>
          <w:b/>
          <w:sz w:val="22"/>
          <w:szCs w:val="22"/>
        </w:rPr>
      </w:pPr>
      <w:r w:rsidRPr="00533668">
        <w:rPr>
          <w:b/>
          <w:sz w:val="22"/>
          <w:szCs w:val="22"/>
        </w:rPr>
        <w:t>A5.</w:t>
      </w:r>
      <w:r w:rsidRPr="00533668">
        <w:rPr>
          <w:b/>
          <w:sz w:val="22"/>
          <w:szCs w:val="22"/>
        </w:rPr>
        <w:tab/>
      </w:r>
      <w:r w:rsidRPr="00533668">
        <w:rPr>
          <w:b/>
          <w:sz w:val="22"/>
          <w:szCs w:val="22"/>
        </w:rPr>
        <w:tab/>
        <w:t>Unusual Items</w:t>
      </w:r>
    </w:p>
    <w:p w:rsidR="00190E10" w:rsidRPr="00533668" w:rsidRDefault="00190E10">
      <w:pPr>
        <w:tabs>
          <w:tab w:val="left" w:pos="360"/>
        </w:tabs>
        <w:jc w:val="both"/>
        <w:rPr>
          <w:b/>
          <w:sz w:val="22"/>
          <w:szCs w:val="22"/>
        </w:rPr>
      </w:pPr>
    </w:p>
    <w:p w:rsidR="00190E10" w:rsidRPr="00533668" w:rsidRDefault="00190E10">
      <w:pPr>
        <w:tabs>
          <w:tab w:val="left" w:pos="360"/>
        </w:tabs>
        <w:jc w:val="both"/>
        <w:rPr>
          <w:sz w:val="22"/>
          <w:szCs w:val="22"/>
        </w:rPr>
      </w:pPr>
      <w:r w:rsidRPr="00533668">
        <w:rPr>
          <w:b/>
          <w:sz w:val="22"/>
          <w:szCs w:val="22"/>
        </w:rPr>
        <w:t xml:space="preserve"> </w:t>
      </w:r>
      <w:r w:rsidRPr="00533668">
        <w:rPr>
          <w:b/>
          <w:sz w:val="22"/>
          <w:szCs w:val="22"/>
        </w:rPr>
        <w:tab/>
      </w:r>
      <w:r w:rsidRPr="00533668">
        <w:rPr>
          <w:b/>
          <w:sz w:val="22"/>
          <w:szCs w:val="22"/>
        </w:rPr>
        <w:tab/>
      </w:r>
      <w:r w:rsidRPr="00533668">
        <w:rPr>
          <w:sz w:val="22"/>
          <w:szCs w:val="22"/>
        </w:rPr>
        <w:t xml:space="preserve">There were no unusual items in the current quarter and financial </w:t>
      </w:r>
      <w:r w:rsidR="00D93F7F">
        <w:rPr>
          <w:sz w:val="22"/>
          <w:szCs w:val="22"/>
        </w:rPr>
        <w:t>period</w:t>
      </w:r>
      <w:r w:rsidRPr="00533668">
        <w:rPr>
          <w:sz w:val="22"/>
          <w:szCs w:val="22"/>
        </w:rPr>
        <w:t xml:space="preserve"> to date.</w:t>
      </w:r>
    </w:p>
    <w:p w:rsidR="0084470D" w:rsidRDefault="0084470D">
      <w:pPr>
        <w:tabs>
          <w:tab w:val="left" w:pos="360"/>
        </w:tabs>
        <w:jc w:val="both"/>
        <w:rPr>
          <w:b/>
          <w:sz w:val="22"/>
          <w:szCs w:val="22"/>
        </w:rPr>
      </w:pPr>
    </w:p>
    <w:p w:rsidR="003D44DB" w:rsidRPr="00533668" w:rsidRDefault="003D44DB">
      <w:pPr>
        <w:tabs>
          <w:tab w:val="left" w:pos="360"/>
        </w:tabs>
        <w:jc w:val="both"/>
        <w:rPr>
          <w:b/>
          <w:sz w:val="22"/>
          <w:szCs w:val="22"/>
        </w:rPr>
      </w:pPr>
    </w:p>
    <w:p w:rsidR="00190E10" w:rsidRPr="00533668" w:rsidRDefault="00190E10">
      <w:pPr>
        <w:pStyle w:val="Heading1"/>
        <w:tabs>
          <w:tab w:val="left" w:pos="720"/>
        </w:tabs>
        <w:rPr>
          <w:szCs w:val="22"/>
        </w:rPr>
      </w:pPr>
      <w:r w:rsidRPr="00533668">
        <w:rPr>
          <w:szCs w:val="22"/>
        </w:rPr>
        <w:t>A6.</w:t>
      </w:r>
      <w:r w:rsidRPr="00533668">
        <w:rPr>
          <w:szCs w:val="22"/>
        </w:rPr>
        <w:tab/>
        <w:t>Changes in Estimate</w:t>
      </w:r>
    </w:p>
    <w:p w:rsidR="00190E10" w:rsidRPr="00533668" w:rsidRDefault="00190E10">
      <w:pPr>
        <w:tabs>
          <w:tab w:val="left" w:pos="360"/>
        </w:tabs>
        <w:jc w:val="both"/>
        <w:rPr>
          <w:b/>
          <w:sz w:val="22"/>
          <w:szCs w:val="22"/>
        </w:rPr>
      </w:pPr>
    </w:p>
    <w:p w:rsidR="0084470D" w:rsidRPr="00533668" w:rsidRDefault="0084470D" w:rsidP="0084470D">
      <w:pPr>
        <w:pStyle w:val="BodyText31"/>
        <w:rPr>
          <w:szCs w:val="22"/>
        </w:rPr>
      </w:pPr>
      <w:r w:rsidRPr="00533668">
        <w:rPr>
          <w:szCs w:val="22"/>
        </w:rPr>
        <w:t>The</w:t>
      </w:r>
      <w:r w:rsidR="000F330D">
        <w:rPr>
          <w:szCs w:val="22"/>
        </w:rPr>
        <w:t xml:space="preserve">re were no changes in the estimate of amounts reported in </w:t>
      </w:r>
      <w:r w:rsidR="00810DF3">
        <w:rPr>
          <w:szCs w:val="22"/>
        </w:rPr>
        <w:t>current</w:t>
      </w:r>
      <w:r w:rsidR="000F330D">
        <w:rPr>
          <w:szCs w:val="22"/>
        </w:rPr>
        <w:t xml:space="preserve"> interim period of the current financial year.</w:t>
      </w:r>
    </w:p>
    <w:p w:rsidR="00086ED6" w:rsidRDefault="00086ED6">
      <w:pPr>
        <w:tabs>
          <w:tab w:val="left" w:pos="360"/>
        </w:tabs>
        <w:jc w:val="both"/>
        <w:rPr>
          <w:b/>
          <w:sz w:val="22"/>
          <w:szCs w:val="22"/>
        </w:rPr>
      </w:pPr>
    </w:p>
    <w:p w:rsidR="00E82C6D" w:rsidRDefault="00E82C6D">
      <w:pPr>
        <w:tabs>
          <w:tab w:val="left" w:pos="360"/>
        </w:tabs>
        <w:jc w:val="both"/>
        <w:rPr>
          <w:b/>
          <w:sz w:val="22"/>
          <w:szCs w:val="22"/>
        </w:rPr>
      </w:pPr>
    </w:p>
    <w:p w:rsidR="00190E10" w:rsidRPr="002D376A" w:rsidRDefault="00190E10">
      <w:pPr>
        <w:tabs>
          <w:tab w:val="left" w:pos="360"/>
        </w:tabs>
        <w:jc w:val="both"/>
        <w:rPr>
          <w:b/>
          <w:sz w:val="22"/>
          <w:szCs w:val="22"/>
          <w:highlight w:val="yellow"/>
        </w:rPr>
      </w:pPr>
      <w:r w:rsidRPr="00533668">
        <w:rPr>
          <w:b/>
          <w:sz w:val="22"/>
          <w:szCs w:val="22"/>
        </w:rPr>
        <w:t>A7.</w:t>
      </w:r>
      <w:r w:rsidRPr="00533668">
        <w:rPr>
          <w:b/>
          <w:sz w:val="22"/>
          <w:szCs w:val="22"/>
        </w:rPr>
        <w:tab/>
      </w:r>
      <w:r w:rsidRPr="00533668">
        <w:rPr>
          <w:b/>
          <w:sz w:val="22"/>
          <w:szCs w:val="22"/>
        </w:rPr>
        <w:tab/>
      </w:r>
      <w:r w:rsidRPr="00C033CE">
        <w:rPr>
          <w:b/>
          <w:sz w:val="22"/>
          <w:szCs w:val="22"/>
        </w:rPr>
        <w:t>Debt and Equity Securities</w:t>
      </w:r>
    </w:p>
    <w:p w:rsidR="00190E10" w:rsidRPr="002D376A" w:rsidRDefault="00190E10">
      <w:pPr>
        <w:tabs>
          <w:tab w:val="left" w:pos="360"/>
        </w:tabs>
        <w:ind w:left="360"/>
        <w:jc w:val="both"/>
        <w:rPr>
          <w:b/>
          <w:sz w:val="22"/>
          <w:szCs w:val="22"/>
          <w:highlight w:val="yellow"/>
        </w:rPr>
      </w:pPr>
    </w:p>
    <w:p w:rsidR="00190E10" w:rsidRDefault="007C448D">
      <w:pPr>
        <w:pStyle w:val="BodyText31"/>
        <w:rPr>
          <w:szCs w:val="22"/>
        </w:rPr>
      </w:pPr>
      <w:r>
        <w:rPr>
          <w:szCs w:val="22"/>
        </w:rPr>
        <w:t>T</w:t>
      </w:r>
      <w:r w:rsidR="00190E10" w:rsidRPr="00C033CE">
        <w:rPr>
          <w:szCs w:val="22"/>
        </w:rPr>
        <w:t>here were no issuances, cancellations, repurchases, resale and repayment</w:t>
      </w:r>
      <w:r w:rsidR="00AB1112" w:rsidRPr="00C033CE">
        <w:rPr>
          <w:szCs w:val="22"/>
        </w:rPr>
        <w:t>s of debt and equity securities.</w:t>
      </w:r>
    </w:p>
    <w:p w:rsidR="00C033CE" w:rsidRDefault="00C033CE">
      <w:pPr>
        <w:pStyle w:val="BodyText31"/>
        <w:rPr>
          <w:szCs w:val="22"/>
        </w:rPr>
      </w:pPr>
    </w:p>
    <w:p w:rsidR="003D44DB" w:rsidRPr="00DE5A06" w:rsidRDefault="003D44DB">
      <w:pPr>
        <w:pStyle w:val="BodyText31"/>
        <w:rPr>
          <w:szCs w:val="22"/>
        </w:rPr>
      </w:pPr>
    </w:p>
    <w:p w:rsidR="00190E10" w:rsidRPr="00533668" w:rsidRDefault="00190E10">
      <w:pPr>
        <w:pStyle w:val="Heading1"/>
        <w:tabs>
          <w:tab w:val="left" w:pos="720"/>
        </w:tabs>
        <w:rPr>
          <w:szCs w:val="22"/>
        </w:rPr>
      </w:pPr>
      <w:r w:rsidRPr="00533668">
        <w:rPr>
          <w:szCs w:val="22"/>
        </w:rPr>
        <w:t>A8.</w:t>
      </w:r>
      <w:r w:rsidRPr="00533668">
        <w:rPr>
          <w:szCs w:val="22"/>
        </w:rPr>
        <w:tab/>
      </w:r>
      <w:r w:rsidRPr="00655C74">
        <w:rPr>
          <w:szCs w:val="22"/>
        </w:rPr>
        <w:t>Dividends paid</w:t>
      </w:r>
      <w:r w:rsidRPr="00533668">
        <w:rPr>
          <w:szCs w:val="22"/>
        </w:rPr>
        <w:t xml:space="preserve"> </w:t>
      </w:r>
    </w:p>
    <w:p w:rsidR="00190E10" w:rsidRPr="00533668" w:rsidRDefault="00190E10">
      <w:pPr>
        <w:tabs>
          <w:tab w:val="left" w:pos="360"/>
        </w:tabs>
        <w:jc w:val="both"/>
        <w:rPr>
          <w:b/>
          <w:sz w:val="22"/>
          <w:szCs w:val="22"/>
        </w:rPr>
      </w:pPr>
    </w:p>
    <w:p w:rsidR="00206B9F" w:rsidRPr="00A3583C" w:rsidRDefault="00190E10" w:rsidP="00206B9F">
      <w:pPr>
        <w:tabs>
          <w:tab w:val="left" w:pos="360"/>
        </w:tabs>
        <w:ind w:left="720" w:hanging="720"/>
        <w:jc w:val="both"/>
        <w:rPr>
          <w:bCs/>
          <w:sz w:val="22"/>
          <w:szCs w:val="22"/>
        </w:rPr>
      </w:pPr>
      <w:r w:rsidRPr="00533668">
        <w:rPr>
          <w:b/>
          <w:sz w:val="22"/>
          <w:szCs w:val="22"/>
        </w:rPr>
        <w:tab/>
      </w:r>
      <w:r w:rsidRPr="00A3583C">
        <w:rPr>
          <w:sz w:val="22"/>
          <w:szCs w:val="22"/>
        </w:rPr>
        <w:tab/>
      </w:r>
      <w:r w:rsidR="00A3583C" w:rsidRPr="00A3583C">
        <w:rPr>
          <w:sz w:val="22"/>
          <w:szCs w:val="22"/>
        </w:rPr>
        <w:t>There were no dividends paid during the quarter under review.</w:t>
      </w:r>
    </w:p>
    <w:p w:rsidR="0042284A" w:rsidRDefault="0042284A" w:rsidP="0042284A">
      <w:pPr>
        <w:tabs>
          <w:tab w:val="left" w:pos="360"/>
        </w:tabs>
        <w:ind w:left="720" w:hanging="720"/>
        <w:jc w:val="both"/>
        <w:rPr>
          <w:bCs/>
          <w:sz w:val="22"/>
          <w:szCs w:val="22"/>
        </w:rPr>
      </w:pPr>
    </w:p>
    <w:p w:rsidR="008C21C8" w:rsidRDefault="008C21C8" w:rsidP="0042284A">
      <w:pPr>
        <w:tabs>
          <w:tab w:val="left" w:pos="360"/>
        </w:tabs>
        <w:ind w:left="720" w:hanging="720"/>
        <w:jc w:val="both"/>
        <w:rPr>
          <w:bCs/>
          <w:sz w:val="22"/>
          <w:szCs w:val="22"/>
        </w:rPr>
      </w:pPr>
    </w:p>
    <w:p w:rsidR="008C21C8" w:rsidRDefault="008C21C8" w:rsidP="0042284A">
      <w:pPr>
        <w:tabs>
          <w:tab w:val="left" w:pos="360"/>
        </w:tabs>
        <w:ind w:left="720" w:hanging="720"/>
        <w:jc w:val="both"/>
        <w:rPr>
          <w:bCs/>
          <w:sz w:val="22"/>
          <w:szCs w:val="22"/>
        </w:rPr>
      </w:pPr>
    </w:p>
    <w:p w:rsidR="00B20E69" w:rsidRDefault="00B20E69" w:rsidP="0042284A">
      <w:pPr>
        <w:tabs>
          <w:tab w:val="left" w:pos="360"/>
        </w:tabs>
        <w:ind w:left="720" w:hanging="720"/>
        <w:jc w:val="both"/>
        <w:rPr>
          <w:bCs/>
          <w:sz w:val="22"/>
          <w:szCs w:val="22"/>
        </w:rPr>
      </w:pPr>
    </w:p>
    <w:p w:rsidR="00B20E69" w:rsidRDefault="00B20E69" w:rsidP="0042284A">
      <w:pPr>
        <w:tabs>
          <w:tab w:val="left" w:pos="360"/>
        </w:tabs>
        <w:ind w:left="720" w:hanging="720"/>
        <w:jc w:val="both"/>
        <w:rPr>
          <w:bCs/>
          <w:sz w:val="22"/>
          <w:szCs w:val="22"/>
        </w:rPr>
      </w:pPr>
    </w:p>
    <w:p w:rsidR="00B20E69" w:rsidRDefault="00B20E69" w:rsidP="0042284A">
      <w:pPr>
        <w:tabs>
          <w:tab w:val="left" w:pos="360"/>
        </w:tabs>
        <w:ind w:left="720" w:hanging="720"/>
        <w:jc w:val="both"/>
        <w:rPr>
          <w:bCs/>
          <w:sz w:val="22"/>
          <w:szCs w:val="22"/>
        </w:rPr>
      </w:pPr>
    </w:p>
    <w:p w:rsidR="00B20E69" w:rsidRDefault="00B20E69" w:rsidP="0042284A">
      <w:pPr>
        <w:tabs>
          <w:tab w:val="left" w:pos="360"/>
        </w:tabs>
        <w:ind w:left="720" w:hanging="720"/>
        <w:jc w:val="both"/>
        <w:rPr>
          <w:bCs/>
          <w:sz w:val="22"/>
          <w:szCs w:val="22"/>
        </w:rPr>
      </w:pPr>
    </w:p>
    <w:p w:rsidR="008C21C8" w:rsidRDefault="008C21C8" w:rsidP="0042284A">
      <w:pPr>
        <w:tabs>
          <w:tab w:val="left" w:pos="360"/>
        </w:tabs>
        <w:ind w:left="720" w:hanging="720"/>
        <w:jc w:val="both"/>
        <w:rPr>
          <w:bCs/>
          <w:sz w:val="22"/>
          <w:szCs w:val="22"/>
        </w:rPr>
      </w:pPr>
    </w:p>
    <w:p w:rsidR="008C21C8" w:rsidRDefault="008C21C8" w:rsidP="0042284A">
      <w:pPr>
        <w:tabs>
          <w:tab w:val="left" w:pos="360"/>
        </w:tabs>
        <w:ind w:left="720" w:hanging="720"/>
        <w:jc w:val="both"/>
        <w:rPr>
          <w:bCs/>
          <w:sz w:val="22"/>
          <w:szCs w:val="22"/>
        </w:rPr>
      </w:pPr>
    </w:p>
    <w:p w:rsidR="008C21C8" w:rsidRDefault="008C21C8" w:rsidP="0042284A">
      <w:pPr>
        <w:tabs>
          <w:tab w:val="left" w:pos="360"/>
        </w:tabs>
        <w:ind w:left="720" w:hanging="720"/>
        <w:jc w:val="both"/>
        <w:rPr>
          <w:bCs/>
          <w:sz w:val="22"/>
          <w:szCs w:val="22"/>
        </w:rPr>
      </w:pPr>
    </w:p>
    <w:p w:rsidR="008C21C8" w:rsidRPr="00A3583C" w:rsidRDefault="008C21C8" w:rsidP="0042284A">
      <w:pPr>
        <w:tabs>
          <w:tab w:val="left" w:pos="360"/>
        </w:tabs>
        <w:ind w:left="720" w:hanging="720"/>
        <w:jc w:val="both"/>
        <w:rPr>
          <w:bCs/>
          <w:sz w:val="22"/>
          <w:szCs w:val="22"/>
        </w:rPr>
      </w:pPr>
    </w:p>
    <w:p w:rsidR="00190E10" w:rsidRDefault="00190E10">
      <w:pPr>
        <w:tabs>
          <w:tab w:val="left" w:pos="360"/>
        </w:tabs>
        <w:ind w:left="720" w:hanging="720"/>
        <w:jc w:val="both"/>
        <w:rPr>
          <w:bCs/>
          <w:sz w:val="22"/>
          <w:szCs w:val="22"/>
        </w:rPr>
      </w:pPr>
    </w:p>
    <w:p w:rsidR="00190E10" w:rsidRPr="00533668" w:rsidRDefault="00190E10">
      <w:pPr>
        <w:pStyle w:val="Heading1"/>
        <w:tabs>
          <w:tab w:val="left" w:pos="720"/>
        </w:tabs>
        <w:ind w:right="-619"/>
        <w:rPr>
          <w:szCs w:val="22"/>
        </w:rPr>
      </w:pPr>
      <w:r w:rsidRPr="00533668">
        <w:rPr>
          <w:szCs w:val="22"/>
        </w:rPr>
        <w:lastRenderedPageBreak/>
        <w:t>A9.</w:t>
      </w:r>
      <w:r w:rsidRPr="00533668">
        <w:rPr>
          <w:szCs w:val="22"/>
        </w:rPr>
        <w:tab/>
        <w:t xml:space="preserve">Segmental </w:t>
      </w:r>
      <w:r w:rsidR="00D111AE">
        <w:rPr>
          <w:szCs w:val="22"/>
        </w:rPr>
        <w:t>Information</w:t>
      </w:r>
    </w:p>
    <w:p w:rsidR="00190E10" w:rsidRDefault="00190E10">
      <w:pPr>
        <w:tabs>
          <w:tab w:val="left" w:pos="360"/>
        </w:tabs>
        <w:jc w:val="both"/>
        <w:rPr>
          <w:sz w:val="22"/>
          <w:szCs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5"/>
        <w:gridCol w:w="1206"/>
        <w:gridCol w:w="1725"/>
        <w:gridCol w:w="1273"/>
        <w:gridCol w:w="1415"/>
        <w:gridCol w:w="1145"/>
      </w:tblGrid>
      <w:tr w:rsidR="00157005" w:rsidRPr="00B534AA">
        <w:tc>
          <w:tcPr>
            <w:tcW w:w="1365" w:type="dxa"/>
          </w:tcPr>
          <w:p w:rsidR="003A2A2A" w:rsidRPr="00B534AA" w:rsidRDefault="003A2A2A" w:rsidP="00B534AA">
            <w:pPr>
              <w:tabs>
                <w:tab w:val="left" w:pos="360"/>
              </w:tabs>
              <w:jc w:val="both"/>
              <w:rPr>
                <w:rFonts w:ascii="Calibri" w:eastAsia="Calibri" w:hAnsi="Calibri"/>
                <w:sz w:val="22"/>
                <w:szCs w:val="22"/>
              </w:rPr>
            </w:pPr>
          </w:p>
        </w:tc>
        <w:tc>
          <w:tcPr>
            <w:tcW w:w="1165" w:type="dxa"/>
          </w:tcPr>
          <w:p w:rsidR="003A2A2A" w:rsidRPr="00B534AA" w:rsidRDefault="003A2A2A" w:rsidP="00B534AA">
            <w:pPr>
              <w:tabs>
                <w:tab w:val="left" w:pos="360"/>
              </w:tabs>
              <w:jc w:val="both"/>
              <w:rPr>
                <w:rFonts w:eastAsia="Calibri"/>
                <w:b/>
                <w:sz w:val="22"/>
                <w:szCs w:val="22"/>
              </w:rPr>
            </w:pPr>
            <w:r w:rsidRPr="00B534AA">
              <w:rPr>
                <w:rFonts w:eastAsia="Calibri"/>
                <w:b/>
                <w:sz w:val="22"/>
                <w:szCs w:val="22"/>
              </w:rPr>
              <w:t>Poultry farming</w:t>
            </w:r>
            <w:r w:rsidR="003D44DB">
              <w:rPr>
                <w:rFonts w:eastAsia="Calibri"/>
                <w:b/>
                <w:sz w:val="22"/>
                <w:szCs w:val="22"/>
              </w:rPr>
              <w:t xml:space="preserve"> and processing</w:t>
            </w:r>
          </w:p>
        </w:tc>
        <w:tc>
          <w:tcPr>
            <w:tcW w:w="1731" w:type="dxa"/>
          </w:tcPr>
          <w:p w:rsidR="003A2A2A" w:rsidRPr="00B534AA" w:rsidRDefault="003A2A2A" w:rsidP="00B534AA">
            <w:pPr>
              <w:tabs>
                <w:tab w:val="left" w:pos="360"/>
              </w:tabs>
              <w:jc w:val="right"/>
              <w:rPr>
                <w:rFonts w:eastAsia="Calibri"/>
                <w:b/>
                <w:bCs/>
                <w:sz w:val="22"/>
                <w:szCs w:val="22"/>
              </w:rPr>
            </w:pPr>
            <w:r w:rsidRPr="00B534AA">
              <w:rPr>
                <w:rFonts w:eastAsia="Calibri"/>
                <w:b/>
                <w:bCs/>
                <w:sz w:val="22"/>
                <w:szCs w:val="22"/>
              </w:rPr>
              <w:t xml:space="preserve">Manufacturing of fertilizer, feeds and  egg trays </w:t>
            </w:r>
          </w:p>
        </w:tc>
        <w:tc>
          <w:tcPr>
            <w:tcW w:w="1295" w:type="dxa"/>
          </w:tcPr>
          <w:p w:rsidR="003A2A2A" w:rsidRPr="00B534AA" w:rsidRDefault="003A2A2A" w:rsidP="00B534AA">
            <w:pPr>
              <w:tabs>
                <w:tab w:val="left" w:pos="360"/>
              </w:tabs>
              <w:jc w:val="both"/>
              <w:rPr>
                <w:rFonts w:eastAsia="Calibri"/>
                <w:b/>
                <w:sz w:val="22"/>
                <w:szCs w:val="22"/>
              </w:rPr>
            </w:pPr>
            <w:r w:rsidRPr="00B534AA">
              <w:rPr>
                <w:rFonts w:eastAsia="Calibri"/>
                <w:b/>
                <w:sz w:val="22"/>
                <w:szCs w:val="22"/>
              </w:rPr>
              <w:t>Others</w:t>
            </w:r>
          </w:p>
        </w:tc>
        <w:tc>
          <w:tcPr>
            <w:tcW w:w="1415" w:type="dxa"/>
          </w:tcPr>
          <w:p w:rsidR="003A2A2A" w:rsidRPr="00B534AA" w:rsidRDefault="003A2A2A" w:rsidP="00B534AA">
            <w:pPr>
              <w:tabs>
                <w:tab w:val="left" w:pos="360"/>
              </w:tabs>
              <w:jc w:val="both"/>
              <w:rPr>
                <w:rFonts w:eastAsia="Calibri"/>
                <w:b/>
                <w:sz w:val="22"/>
                <w:szCs w:val="22"/>
              </w:rPr>
            </w:pPr>
            <w:r w:rsidRPr="00B534AA">
              <w:rPr>
                <w:rFonts w:eastAsia="Calibri"/>
                <w:b/>
                <w:sz w:val="22"/>
                <w:szCs w:val="22"/>
              </w:rPr>
              <w:t>Eliminations</w:t>
            </w:r>
          </w:p>
        </w:tc>
        <w:tc>
          <w:tcPr>
            <w:tcW w:w="1158" w:type="dxa"/>
          </w:tcPr>
          <w:p w:rsidR="003A2A2A" w:rsidRPr="00B534AA" w:rsidRDefault="003A2A2A" w:rsidP="00B534AA">
            <w:pPr>
              <w:tabs>
                <w:tab w:val="left" w:pos="360"/>
              </w:tabs>
              <w:jc w:val="both"/>
              <w:rPr>
                <w:rFonts w:eastAsia="Calibri"/>
                <w:b/>
                <w:sz w:val="22"/>
                <w:szCs w:val="22"/>
              </w:rPr>
            </w:pPr>
            <w:r w:rsidRPr="00B534AA">
              <w:rPr>
                <w:rFonts w:eastAsia="Calibri"/>
                <w:b/>
                <w:sz w:val="22"/>
                <w:szCs w:val="22"/>
              </w:rPr>
              <w:t>Group</w:t>
            </w:r>
          </w:p>
        </w:tc>
      </w:tr>
      <w:tr w:rsidR="00157005" w:rsidRPr="00B534AA">
        <w:tc>
          <w:tcPr>
            <w:tcW w:w="1365" w:type="dxa"/>
          </w:tcPr>
          <w:p w:rsidR="003A2A2A" w:rsidRPr="00B534AA" w:rsidRDefault="003A2A2A" w:rsidP="00B534AA">
            <w:pPr>
              <w:tabs>
                <w:tab w:val="left" w:pos="360"/>
              </w:tabs>
              <w:jc w:val="both"/>
              <w:rPr>
                <w:rFonts w:eastAsia="Calibri"/>
                <w:sz w:val="22"/>
                <w:szCs w:val="22"/>
              </w:rPr>
            </w:pPr>
          </w:p>
        </w:tc>
        <w:tc>
          <w:tcPr>
            <w:tcW w:w="1165" w:type="dxa"/>
          </w:tcPr>
          <w:p w:rsidR="003A2A2A" w:rsidRPr="00B534AA" w:rsidRDefault="003A2A2A" w:rsidP="00B534AA">
            <w:pPr>
              <w:jc w:val="right"/>
              <w:rPr>
                <w:rFonts w:eastAsia="Calibri"/>
                <w:sz w:val="22"/>
                <w:szCs w:val="22"/>
              </w:rPr>
            </w:pPr>
            <w:r w:rsidRPr="00B534AA">
              <w:rPr>
                <w:rFonts w:eastAsia="Calibri"/>
                <w:sz w:val="22"/>
                <w:szCs w:val="22"/>
              </w:rPr>
              <w:t>RM’000</w:t>
            </w:r>
          </w:p>
        </w:tc>
        <w:tc>
          <w:tcPr>
            <w:tcW w:w="1731" w:type="dxa"/>
          </w:tcPr>
          <w:p w:rsidR="003A2A2A" w:rsidRPr="00B534AA" w:rsidRDefault="003A2A2A" w:rsidP="00B534AA">
            <w:pPr>
              <w:jc w:val="right"/>
              <w:rPr>
                <w:rFonts w:eastAsia="Calibri"/>
                <w:sz w:val="22"/>
                <w:szCs w:val="22"/>
              </w:rPr>
            </w:pPr>
            <w:r w:rsidRPr="00B534AA">
              <w:rPr>
                <w:rFonts w:eastAsia="Calibri"/>
                <w:sz w:val="22"/>
                <w:szCs w:val="22"/>
              </w:rPr>
              <w:t>RM’000</w:t>
            </w:r>
          </w:p>
        </w:tc>
        <w:tc>
          <w:tcPr>
            <w:tcW w:w="1295" w:type="dxa"/>
          </w:tcPr>
          <w:p w:rsidR="003A2A2A" w:rsidRPr="00B534AA" w:rsidRDefault="003A2A2A" w:rsidP="00B534AA">
            <w:pPr>
              <w:jc w:val="right"/>
              <w:rPr>
                <w:rFonts w:eastAsia="Calibri"/>
                <w:sz w:val="22"/>
                <w:szCs w:val="22"/>
              </w:rPr>
            </w:pPr>
            <w:r w:rsidRPr="00B534AA">
              <w:rPr>
                <w:rFonts w:eastAsia="Calibri"/>
                <w:sz w:val="22"/>
                <w:szCs w:val="22"/>
              </w:rPr>
              <w:t>RM’000</w:t>
            </w:r>
          </w:p>
        </w:tc>
        <w:tc>
          <w:tcPr>
            <w:tcW w:w="1415" w:type="dxa"/>
          </w:tcPr>
          <w:p w:rsidR="003A2A2A" w:rsidRPr="00B534AA" w:rsidRDefault="003A2A2A" w:rsidP="00B534AA">
            <w:pPr>
              <w:jc w:val="right"/>
              <w:rPr>
                <w:rFonts w:eastAsia="Calibri"/>
                <w:sz w:val="22"/>
                <w:szCs w:val="22"/>
              </w:rPr>
            </w:pPr>
            <w:r w:rsidRPr="00B534AA">
              <w:rPr>
                <w:rFonts w:eastAsia="Calibri"/>
                <w:sz w:val="22"/>
                <w:szCs w:val="22"/>
              </w:rPr>
              <w:t>RM’000</w:t>
            </w:r>
          </w:p>
        </w:tc>
        <w:tc>
          <w:tcPr>
            <w:tcW w:w="1158" w:type="dxa"/>
          </w:tcPr>
          <w:p w:rsidR="003A2A2A" w:rsidRPr="00B534AA" w:rsidRDefault="003A2A2A" w:rsidP="00B534AA">
            <w:pPr>
              <w:jc w:val="right"/>
              <w:rPr>
                <w:rFonts w:eastAsia="Calibri"/>
                <w:sz w:val="22"/>
                <w:szCs w:val="22"/>
              </w:rPr>
            </w:pPr>
            <w:r w:rsidRPr="00B534AA">
              <w:rPr>
                <w:rFonts w:eastAsia="Calibri"/>
                <w:sz w:val="22"/>
                <w:szCs w:val="22"/>
              </w:rPr>
              <w:t>RM’000</w:t>
            </w:r>
          </w:p>
        </w:tc>
      </w:tr>
      <w:tr w:rsidR="00157005" w:rsidRPr="00B534AA">
        <w:tc>
          <w:tcPr>
            <w:tcW w:w="1365" w:type="dxa"/>
          </w:tcPr>
          <w:p w:rsidR="003A2A2A" w:rsidRPr="00B534AA" w:rsidRDefault="003A2A2A" w:rsidP="00B534AA">
            <w:pPr>
              <w:tabs>
                <w:tab w:val="left" w:pos="360"/>
              </w:tabs>
              <w:jc w:val="both"/>
              <w:rPr>
                <w:rFonts w:eastAsia="Calibri"/>
                <w:sz w:val="22"/>
                <w:szCs w:val="22"/>
              </w:rPr>
            </w:pPr>
            <w:r w:rsidRPr="00B534AA">
              <w:rPr>
                <w:rFonts w:eastAsia="Calibri"/>
                <w:sz w:val="22"/>
                <w:szCs w:val="22"/>
              </w:rPr>
              <w:t>External sales</w:t>
            </w:r>
          </w:p>
        </w:tc>
        <w:tc>
          <w:tcPr>
            <w:tcW w:w="1165" w:type="dxa"/>
          </w:tcPr>
          <w:p w:rsidR="003A2A2A" w:rsidRPr="00F9146E" w:rsidRDefault="00F9146E" w:rsidP="00F9146E">
            <w:pPr>
              <w:tabs>
                <w:tab w:val="left" w:pos="360"/>
              </w:tabs>
              <w:jc w:val="right"/>
              <w:rPr>
                <w:rFonts w:eastAsia="Calibri"/>
                <w:sz w:val="22"/>
                <w:szCs w:val="22"/>
              </w:rPr>
            </w:pPr>
            <w:r w:rsidRPr="00F9146E">
              <w:rPr>
                <w:rFonts w:eastAsia="Calibri"/>
                <w:sz w:val="22"/>
                <w:szCs w:val="22"/>
              </w:rPr>
              <w:t>910,787</w:t>
            </w:r>
          </w:p>
        </w:tc>
        <w:tc>
          <w:tcPr>
            <w:tcW w:w="1731" w:type="dxa"/>
          </w:tcPr>
          <w:p w:rsidR="003A2A2A" w:rsidRPr="00F9146E" w:rsidRDefault="00F9146E" w:rsidP="00F965DD">
            <w:pPr>
              <w:tabs>
                <w:tab w:val="left" w:pos="360"/>
              </w:tabs>
              <w:jc w:val="right"/>
              <w:rPr>
                <w:rFonts w:eastAsia="Calibri"/>
                <w:sz w:val="22"/>
                <w:szCs w:val="22"/>
              </w:rPr>
            </w:pPr>
            <w:r w:rsidRPr="00F9146E">
              <w:rPr>
                <w:rFonts w:eastAsia="Calibri"/>
                <w:sz w:val="22"/>
                <w:szCs w:val="22"/>
              </w:rPr>
              <w:t>2,479</w:t>
            </w:r>
          </w:p>
        </w:tc>
        <w:tc>
          <w:tcPr>
            <w:tcW w:w="1295" w:type="dxa"/>
          </w:tcPr>
          <w:p w:rsidR="003A2A2A" w:rsidRPr="00F9146E" w:rsidRDefault="00F9146E" w:rsidP="009248F6">
            <w:pPr>
              <w:tabs>
                <w:tab w:val="left" w:pos="360"/>
              </w:tabs>
              <w:jc w:val="right"/>
              <w:rPr>
                <w:rFonts w:eastAsia="Calibri"/>
                <w:sz w:val="22"/>
                <w:szCs w:val="22"/>
              </w:rPr>
            </w:pPr>
            <w:r w:rsidRPr="00F9146E">
              <w:rPr>
                <w:rFonts w:eastAsia="Calibri"/>
                <w:sz w:val="22"/>
                <w:szCs w:val="22"/>
              </w:rPr>
              <w:t>3,602</w:t>
            </w:r>
          </w:p>
        </w:tc>
        <w:tc>
          <w:tcPr>
            <w:tcW w:w="1415" w:type="dxa"/>
          </w:tcPr>
          <w:p w:rsidR="003A2A2A" w:rsidRPr="00F9146E" w:rsidRDefault="00F9146E" w:rsidP="00B534AA">
            <w:pPr>
              <w:tabs>
                <w:tab w:val="left" w:pos="360"/>
              </w:tabs>
              <w:jc w:val="right"/>
              <w:rPr>
                <w:rFonts w:eastAsia="Calibri"/>
                <w:sz w:val="22"/>
                <w:szCs w:val="22"/>
              </w:rPr>
            </w:pPr>
            <w:r w:rsidRPr="00F9146E">
              <w:rPr>
                <w:rFonts w:eastAsia="Calibri"/>
                <w:sz w:val="22"/>
                <w:szCs w:val="22"/>
              </w:rPr>
              <w:t>-</w:t>
            </w:r>
          </w:p>
        </w:tc>
        <w:tc>
          <w:tcPr>
            <w:tcW w:w="1158" w:type="dxa"/>
          </w:tcPr>
          <w:p w:rsidR="003A2A2A" w:rsidRPr="00F9146E" w:rsidRDefault="00F9146E" w:rsidP="00AB47C2">
            <w:pPr>
              <w:tabs>
                <w:tab w:val="left" w:pos="360"/>
              </w:tabs>
              <w:jc w:val="right"/>
              <w:rPr>
                <w:rFonts w:eastAsia="Calibri"/>
                <w:sz w:val="22"/>
                <w:szCs w:val="22"/>
              </w:rPr>
            </w:pPr>
            <w:r w:rsidRPr="00F9146E">
              <w:rPr>
                <w:rFonts w:eastAsia="Calibri"/>
                <w:sz w:val="22"/>
                <w:szCs w:val="22"/>
              </w:rPr>
              <w:t>916,868</w:t>
            </w:r>
          </w:p>
        </w:tc>
      </w:tr>
      <w:tr w:rsidR="00157005" w:rsidRPr="00B534AA">
        <w:tc>
          <w:tcPr>
            <w:tcW w:w="1365" w:type="dxa"/>
          </w:tcPr>
          <w:p w:rsidR="003A2A2A" w:rsidRPr="00B534AA" w:rsidRDefault="003A2A2A" w:rsidP="00B534AA">
            <w:pPr>
              <w:tabs>
                <w:tab w:val="left" w:pos="360"/>
              </w:tabs>
              <w:jc w:val="both"/>
              <w:rPr>
                <w:rFonts w:eastAsia="Calibri"/>
                <w:sz w:val="22"/>
                <w:szCs w:val="22"/>
              </w:rPr>
            </w:pPr>
            <w:r w:rsidRPr="00B534AA">
              <w:rPr>
                <w:rFonts w:eastAsia="Calibri"/>
                <w:sz w:val="22"/>
                <w:szCs w:val="22"/>
              </w:rPr>
              <w:t>Intersegment sales</w:t>
            </w:r>
          </w:p>
        </w:tc>
        <w:tc>
          <w:tcPr>
            <w:tcW w:w="1165" w:type="dxa"/>
          </w:tcPr>
          <w:p w:rsidR="003A2A2A" w:rsidRPr="00F9146E" w:rsidRDefault="00F9146E" w:rsidP="00F9146E">
            <w:pPr>
              <w:tabs>
                <w:tab w:val="left" w:pos="360"/>
              </w:tabs>
              <w:jc w:val="right"/>
              <w:rPr>
                <w:rFonts w:eastAsia="Calibri"/>
                <w:sz w:val="22"/>
                <w:szCs w:val="22"/>
              </w:rPr>
            </w:pPr>
            <w:r w:rsidRPr="00F9146E">
              <w:rPr>
                <w:rFonts w:eastAsia="Calibri"/>
                <w:sz w:val="22"/>
                <w:szCs w:val="22"/>
              </w:rPr>
              <w:t>342,362</w:t>
            </w:r>
          </w:p>
        </w:tc>
        <w:tc>
          <w:tcPr>
            <w:tcW w:w="1731" w:type="dxa"/>
          </w:tcPr>
          <w:p w:rsidR="003A2A2A" w:rsidRPr="00F9146E" w:rsidRDefault="00F9146E" w:rsidP="00B534AA">
            <w:pPr>
              <w:tabs>
                <w:tab w:val="left" w:pos="360"/>
              </w:tabs>
              <w:jc w:val="right"/>
              <w:rPr>
                <w:rFonts w:eastAsia="Calibri"/>
                <w:sz w:val="22"/>
                <w:szCs w:val="22"/>
              </w:rPr>
            </w:pPr>
            <w:r w:rsidRPr="00F9146E">
              <w:rPr>
                <w:rFonts w:eastAsia="Calibri"/>
                <w:sz w:val="22"/>
                <w:szCs w:val="22"/>
              </w:rPr>
              <w:t>315,493</w:t>
            </w:r>
          </w:p>
        </w:tc>
        <w:tc>
          <w:tcPr>
            <w:tcW w:w="1295" w:type="dxa"/>
          </w:tcPr>
          <w:p w:rsidR="003A2A2A" w:rsidRPr="00F9146E" w:rsidRDefault="00F9146E" w:rsidP="00B534AA">
            <w:pPr>
              <w:tabs>
                <w:tab w:val="left" w:pos="360"/>
              </w:tabs>
              <w:jc w:val="right"/>
              <w:rPr>
                <w:rFonts w:eastAsia="Calibri"/>
                <w:sz w:val="22"/>
                <w:szCs w:val="22"/>
              </w:rPr>
            </w:pPr>
            <w:r w:rsidRPr="00F9146E">
              <w:rPr>
                <w:rFonts w:eastAsia="Calibri"/>
                <w:sz w:val="22"/>
                <w:szCs w:val="22"/>
              </w:rPr>
              <w:t>-</w:t>
            </w:r>
          </w:p>
        </w:tc>
        <w:tc>
          <w:tcPr>
            <w:tcW w:w="1415" w:type="dxa"/>
          </w:tcPr>
          <w:p w:rsidR="00E4071C" w:rsidRPr="00F9146E" w:rsidRDefault="00F9146E" w:rsidP="00F9146E">
            <w:pPr>
              <w:tabs>
                <w:tab w:val="left" w:pos="360"/>
              </w:tabs>
              <w:jc w:val="right"/>
              <w:rPr>
                <w:rFonts w:eastAsia="Calibri"/>
                <w:sz w:val="22"/>
                <w:szCs w:val="22"/>
              </w:rPr>
            </w:pPr>
            <w:r w:rsidRPr="00F9146E">
              <w:rPr>
                <w:rFonts w:eastAsia="Calibri"/>
                <w:sz w:val="22"/>
                <w:szCs w:val="22"/>
              </w:rPr>
              <w:t>(657,855)</w:t>
            </w:r>
          </w:p>
        </w:tc>
        <w:tc>
          <w:tcPr>
            <w:tcW w:w="1158" w:type="dxa"/>
          </w:tcPr>
          <w:p w:rsidR="003A2A2A" w:rsidRPr="00F9146E" w:rsidRDefault="00F9146E" w:rsidP="00B534AA">
            <w:pPr>
              <w:tabs>
                <w:tab w:val="left" w:pos="360"/>
              </w:tabs>
              <w:jc w:val="right"/>
              <w:rPr>
                <w:rFonts w:eastAsia="Calibri"/>
                <w:sz w:val="22"/>
                <w:szCs w:val="22"/>
              </w:rPr>
            </w:pPr>
            <w:r w:rsidRPr="00F9146E">
              <w:rPr>
                <w:rFonts w:eastAsia="Calibri"/>
                <w:sz w:val="22"/>
                <w:szCs w:val="22"/>
              </w:rPr>
              <w:t>-</w:t>
            </w:r>
          </w:p>
        </w:tc>
      </w:tr>
      <w:tr w:rsidR="00157005" w:rsidRPr="00B534AA">
        <w:tc>
          <w:tcPr>
            <w:tcW w:w="1365" w:type="dxa"/>
          </w:tcPr>
          <w:p w:rsidR="003A2A2A" w:rsidRPr="00B534AA" w:rsidRDefault="003A2A2A" w:rsidP="00B534AA">
            <w:pPr>
              <w:tabs>
                <w:tab w:val="left" w:pos="360"/>
              </w:tabs>
              <w:jc w:val="both"/>
              <w:rPr>
                <w:rFonts w:eastAsia="Calibri"/>
                <w:sz w:val="22"/>
                <w:szCs w:val="22"/>
              </w:rPr>
            </w:pPr>
            <w:r w:rsidRPr="00B534AA">
              <w:rPr>
                <w:rFonts w:eastAsia="Calibri"/>
                <w:sz w:val="22"/>
                <w:szCs w:val="22"/>
              </w:rPr>
              <w:t>Total</w:t>
            </w:r>
          </w:p>
        </w:tc>
        <w:tc>
          <w:tcPr>
            <w:tcW w:w="1165" w:type="dxa"/>
          </w:tcPr>
          <w:p w:rsidR="003A2A2A" w:rsidRPr="00F9146E" w:rsidRDefault="00F9146E" w:rsidP="00F9146E">
            <w:pPr>
              <w:tabs>
                <w:tab w:val="left" w:pos="360"/>
              </w:tabs>
              <w:jc w:val="right"/>
              <w:rPr>
                <w:rFonts w:eastAsia="Calibri"/>
                <w:sz w:val="22"/>
                <w:szCs w:val="22"/>
              </w:rPr>
            </w:pPr>
            <w:r w:rsidRPr="00F9146E">
              <w:rPr>
                <w:rFonts w:eastAsia="Calibri"/>
                <w:sz w:val="22"/>
                <w:szCs w:val="22"/>
              </w:rPr>
              <w:t>1,253,149</w:t>
            </w:r>
          </w:p>
        </w:tc>
        <w:tc>
          <w:tcPr>
            <w:tcW w:w="1731" w:type="dxa"/>
          </w:tcPr>
          <w:p w:rsidR="003A2A2A" w:rsidRPr="00F9146E" w:rsidRDefault="00F9146E" w:rsidP="00231E8B">
            <w:pPr>
              <w:tabs>
                <w:tab w:val="left" w:pos="360"/>
              </w:tabs>
              <w:jc w:val="right"/>
              <w:rPr>
                <w:rFonts w:eastAsia="Calibri"/>
                <w:sz w:val="22"/>
                <w:szCs w:val="22"/>
              </w:rPr>
            </w:pPr>
            <w:r w:rsidRPr="00F9146E">
              <w:rPr>
                <w:rFonts w:eastAsia="Calibri"/>
                <w:sz w:val="22"/>
                <w:szCs w:val="22"/>
              </w:rPr>
              <w:t>317,972</w:t>
            </w:r>
          </w:p>
        </w:tc>
        <w:tc>
          <w:tcPr>
            <w:tcW w:w="1295" w:type="dxa"/>
          </w:tcPr>
          <w:p w:rsidR="003A2A2A" w:rsidRPr="00F9146E" w:rsidRDefault="00F9146E" w:rsidP="00B534AA">
            <w:pPr>
              <w:tabs>
                <w:tab w:val="left" w:pos="360"/>
              </w:tabs>
              <w:jc w:val="right"/>
              <w:rPr>
                <w:rFonts w:eastAsia="Calibri"/>
                <w:sz w:val="22"/>
                <w:szCs w:val="22"/>
              </w:rPr>
            </w:pPr>
            <w:r w:rsidRPr="00F9146E">
              <w:rPr>
                <w:rFonts w:eastAsia="Calibri"/>
                <w:sz w:val="22"/>
                <w:szCs w:val="22"/>
              </w:rPr>
              <w:t>3,602</w:t>
            </w:r>
          </w:p>
        </w:tc>
        <w:tc>
          <w:tcPr>
            <w:tcW w:w="1415" w:type="dxa"/>
          </w:tcPr>
          <w:p w:rsidR="003A2A2A" w:rsidRPr="00F9146E" w:rsidRDefault="00F9146E" w:rsidP="003C3DBC">
            <w:pPr>
              <w:tabs>
                <w:tab w:val="left" w:pos="360"/>
              </w:tabs>
              <w:jc w:val="right"/>
              <w:rPr>
                <w:rFonts w:eastAsia="Calibri"/>
                <w:sz w:val="22"/>
                <w:szCs w:val="22"/>
              </w:rPr>
            </w:pPr>
            <w:r w:rsidRPr="00F9146E">
              <w:rPr>
                <w:rFonts w:eastAsia="Calibri"/>
                <w:sz w:val="22"/>
                <w:szCs w:val="22"/>
              </w:rPr>
              <w:t>(657,855)</w:t>
            </w:r>
          </w:p>
        </w:tc>
        <w:tc>
          <w:tcPr>
            <w:tcW w:w="1158" w:type="dxa"/>
          </w:tcPr>
          <w:p w:rsidR="003A2A2A" w:rsidRPr="00F9146E" w:rsidRDefault="00F9146E" w:rsidP="00AB47C2">
            <w:pPr>
              <w:tabs>
                <w:tab w:val="left" w:pos="360"/>
              </w:tabs>
              <w:jc w:val="right"/>
              <w:rPr>
                <w:rFonts w:eastAsia="Calibri"/>
                <w:sz w:val="22"/>
                <w:szCs w:val="22"/>
              </w:rPr>
            </w:pPr>
            <w:r w:rsidRPr="00F9146E">
              <w:rPr>
                <w:rFonts w:eastAsia="Calibri"/>
                <w:sz w:val="22"/>
                <w:szCs w:val="22"/>
              </w:rPr>
              <w:t>916,868</w:t>
            </w:r>
          </w:p>
        </w:tc>
      </w:tr>
      <w:tr w:rsidR="00157005" w:rsidRPr="00B534AA">
        <w:tc>
          <w:tcPr>
            <w:tcW w:w="1365" w:type="dxa"/>
          </w:tcPr>
          <w:p w:rsidR="003A2A2A" w:rsidRPr="00B534AA" w:rsidRDefault="003A2A2A" w:rsidP="00B534AA">
            <w:pPr>
              <w:tabs>
                <w:tab w:val="left" w:pos="360"/>
              </w:tabs>
              <w:jc w:val="both"/>
              <w:rPr>
                <w:rFonts w:eastAsia="Calibri"/>
                <w:sz w:val="22"/>
                <w:szCs w:val="22"/>
              </w:rPr>
            </w:pPr>
          </w:p>
        </w:tc>
        <w:tc>
          <w:tcPr>
            <w:tcW w:w="1165" w:type="dxa"/>
          </w:tcPr>
          <w:p w:rsidR="003A2A2A" w:rsidRPr="009248F6" w:rsidRDefault="003A2A2A" w:rsidP="00B534AA">
            <w:pPr>
              <w:tabs>
                <w:tab w:val="left" w:pos="360"/>
              </w:tabs>
              <w:jc w:val="both"/>
              <w:rPr>
                <w:rFonts w:eastAsia="Calibri"/>
                <w:sz w:val="22"/>
                <w:szCs w:val="22"/>
                <w:highlight w:val="yellow"/>
              </w:rPr>
            </w:pPr>
          </w:p>
        </w:tc>
        <w:tc>
          <w:tcPr>
            <w:tcW w:w="1731" w:type="dxa"/>
          </w:tcPr>
          <w:p w:rsidR="003A2A2A" w:rsidRPr="009248F6" w:rsidRDefault="003A2A2A" w:rsidP="00B534AA">
            <w:pPr>
              <w:tabs>
                <w:tab w:val="left" w:pos="360"/>
              </w:tabs>
              <w:jc w:val="both"/>
              <w:rPr>
                <w:rFonts w:eastAsia="Calibri"/>
                <w:sz w:val="22"/>
                <w:szCs w:val="22"/>
                <w:highlight w:val="yellow"/>
              </w:rPr>
            </w:pPr>
          </w:p>
        </w:tc>
        <w:tc>
          <w:tcPr>
            <w:tcW w:w="1295" w:type="dxa"/>
          </w:tcPr>
          <w:p w:rsidR="003A2A2A" w:rsidRPr="00B534AA" w:rsidRDefault="003A2A2A" w:rsidP="00B534AA">
            <w:pPr>
              <w:tabs>
                <w:tab w:val="left" w:pos="360"/>
              </w:tabs>
              <w:jc w:val="both"/>
              <w:rPr>
                <w:rFonts w:eastAsia="Calibri"/>
                <w:sz w:val="22"/>
                <w:szCs w:val="22"/>
              </w:rPr>
            </w:pPr>
          </w:p>
        </w:tc>
        <w:tc>
          <w:tcPr>
            <w:tcW w:w="1415" w:type="dxa"/>
          </w:tcPr>
          <w:p w:rsidR="003A2A2A" w:rsidRPr="00B534AA" w:rsidRDefault="003A2A2A" w:rsidP="00B534AA">
            <w:pPr>
              <w:tabs>
                <w:tab w:val="left" w:pos="360"/>
              </w:tabs>
              <w:jc w:val="both"/>
              <w:rPr>
                <w:rFonts w:eastAsia="Calibri"/>
                <w:sz w:val="22"/>
                <w:szCs w:val="22"/>
              </w:rPr>
            </w:pPr>
          </w:p>
        </w:tc>
        <w:tc>
          <w:tcPr>
            <w:tcW w:w="1158" w:type="dxa"/>
          </w:tcPr>
          <w:p w:rsidR="003A2A2A" w:rsidRPr="00B534AA" w:rsidRDefault="003A2A2A" w:rsidP="00B534AA">
            <w:pPr>
              <w:tabs>
                <w:tab w:val="left" w:pos="360"/>
              </w:tabs>
              <w:jc w:val="both"/>
              <w:rPr>
                <w:rFonts w:eastAsia="Calibri"/>
                <w:sz w:val="22"/>
                <w:szCs w:val="22"/>
              </w:rPr>
            </w:pPr>
          </w:p>
        </w:tc>
      </w:tr>
    </w:tbl>
    <w:p w:rsidR="003A2A2A" w:rsidRDefault="003A2A2A" w:rsidP="003A2A2A">
      <w:pPr>
        <w:tabs>
          <w:tab w:val="left" w:pos="360"/>
        </w:tabs>
        <w:ind w:left="720"/>
        <w:jc w:val="both"/>
        <w:rPr>
          <w:sz w:val="22"/>
          <w:szCs w:val="22"/>
        </w:rPr>
      </w:pPr>
    </w:p>
    <w:p w:rsidR="009C5A73" w:rsidRPr="00533668" w:rsidRDefault="009C5A73">
      <w:pPr>
        <w:tabs>
          <w:tab w:val="left" w:pos="360"/>
        </w:tabs>
        <w:ind w:left="720"/>
        <w:jc w:val="both"/>
        <w:rPr>
          <w:sz w:val="22"/>
          <w:szCs w:val="22"/>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440"/>
        <w:gridCol w:w="2430"/>
        <w:gridCol w:w="1260"/>
        <w:gridCol w:w="1170"/>
      </w:tblGrid>
      <w:tr w:rsidR="00190E10" w:rsidRPr="00533668" w:rsidTr="002E44CE">
        <w:tblPrEx>
          <w:tblCellMar>
            <w:top w:w="0" w:type="dxa"/>
            <w:bottom w:w="0" w:type="dxa"/>
          </w:tblCellMar>
        </w:tblPrEx>
        <w:tc>
          <w:tcPr>
            <w:tcW w:w="2340" w:type="dxa"/>
          </w:tcPr>
          <w:p w:rsidR="00190E10" w:rsidRPr="00533668" w:rsidRDefault="00190E10">
            <w:pPr>
              <w:tabs>
                <w:tab w:val="left" w:pos="360"/>
              </w:tabs>
              <w:jc w:val="both"/>
              <w:rPr>
                <w:sz w:val="22"/>
                <w:szCs w:val="22"/>
              </w:rPr>
            </w:pPr>
          </w:p>
        </w:tc>
        <w:tc>
          <w:tcPr>
            <w:tcW w:w="1440" w:type="dxa"/>
          </w:tcPr>
          <w:p w:rsidR="00190E10" w:rsidRPr="00533668" w:rsidRDefault="00190E10" w:rsidP="003D44DB">
            <w:pPr>
              <w:tabs>
                <w:tab w:val="left" w:pos="360"/>
              </w:tabs>
              <w:ind w:right="330"/>
              <w:jc w:val="right"/>
              <w:rPr>
                <w:b/>
                <w:bCs/>
                <w:sz w:val="22"/>
                <w:szCs w:val="22"/>
              </w:rPr>
            </w:pPr>
            <w:r w:rsidRPr="00533668">
              <w:rPr>
                <w:b/>
                <w:bCs/>
                <w:sz w:val="22"/>
                <w:szCs w:val="22"/>
              </w:rPr>
              <w:t xml:space="preserve">Poultry </w:t>
            </w:r>
          </w:p>
          <w:p w:rsidR="00190E10" w:rsidRPr="00533668" w:rsidRDefault="003D44DB" w:rsidP="003D44DB">
            <w:pPr>
              <w:tabs>
                <w:tab w:val="left" w:pos="360"/>
              </w:tabs>
              <w:ind w:right="220"/>
              <w:jc w:val="right"/>
              <w:rPr>
                <w:b/>
                <w:bCs/>
                <w:sz w:val="22"/>
                <w:szCs w:val="22"/>
              </w:rPr>
            </w:pPr>
            <w:r w:rsidRPr="00533668">
              <w:rPr>
                <w:b/>
                <w:bCs/>
                <w:sz w:val="22"/>
                <w:szCs w:val="22"/>
              </w:rPr>
              <w:t>F</w:t>
            </w:r>
            <w:r w:rsidR="00190E10" w:rsidRPr="00533668">
              <w:rPr>
                <w:b/>
                <w:bCs/>
                <w:sz w:val="22"/>
                <w:szCs w:val="22"/>
              </w:rPr>
              <w:t>arming</w:t>
            </w:r>
            <w:r>
              <w:rPr>
                <w:b/>
                <w:bCs/>
                <w:sz w:val="22"/>
                <w:szCs w:val="22"/>
              </w:rPr>
              <w:t xml:space="preserve"> and processing</w:t>
            </w:r>
          </w:p>
        </w:tc>
        <w:tc>
          <w:tcPr>
            <w:tcW w:w="2430" w:type="dxa"/>
          </w:tcPr>
          <w:p w:rsidR="00190E10" w:rsidRPr="00B125B4" w:rsidRDefault="00190E10" w:rsidP="00B125B4">
            <w:pPr>
              <w:tabs>
                <w:tab w:val="left" w:pos="360"/>
              </w:tabs>
              <w:jc w:val="center"/>
              <w:rPr>
                <w:b/>
                <w:bCs/>
                <w:sz w:val="22"/>
                <w:szCs w:val="22"/>
              </w:rPr>
            </w:pPr>
            <w:r w:rsidRPr="00B125B4">
              <w:rPr>
                <w:b/>
                <w:bCs/>
                <w:sz w:val="22"/>
                <w:szCs w:val="22"/>
              </w:rPr>
              <w:t>Manufacturing of fertilizer, feeds</w:t>
            </w:r>
            <w:r w:rsidR="00D5555F" w:rsidRPr="00B125B4">
              <w:rPr>
                <w:b/>
                <w:bCs/>
                <w:sz w:val="22"/>
                <w:szCs w:val="22"/>
              </w:rPr>
              <w:t xml:space="preserve"> </w:t>
            </w:r>
            <w:r w:rsidR="00B125B4" w:rsidRPr="00B125B4">
              <w:rPr>
                <w:b/>
                <w:bCs/>
                <w:sz w:val="22"/>
                <w:szCs w:val="22"/>
              </w:rPr>
              <w:t>&amp;</w:t>
            </w:r>
            <w:r w:rsidRPr="00B125B4">
              <w:rPr>
                <w:b/>
                <w:bCs/>
                <w:sz w:val="22"/>
                <w:szCs w:val="22"/>
              </w:rPr>
              <w:t xml:space="preserve"> egg</w:t>
            </w:r>
            <w:r w:rsidR="00B125B4" w:rsidRPr="00B125B4">
              <w:rPr>
                <w:b/>
                <w:bCs/>
                <w:sz w:val="22"/>
                <w:szCs w:val="22"/>
              </w:rPr>
              <w:t xml:space="preserve"> </w:t>
            </w:r>
            <w:r w:rsidRPr="00B125B4">
              <w:rPr>
                <w:b/>
                <w:bCs/>
                <w:sz w:val="22"/>
                <w:szCs w:val="22"/>
              </w:rPr>
              <w:t>trays</w:t>
            </w:r>
          </w:p>
        </w:tc>
        <w:tc>
          <w:tcPr>
            <w:tcW w:w="1260" w:type="dxa"/>
          </w:tcPr>
          <w:p w:rsidR="00190E10" w:rsidRPr="00533668" w:rsidRDefault="00190E10">
            <w:pPr>
              <w:pStyle w:val="Heading9"/>
              <w:rPr>
                <w:szCs w:val="22"/>
              </w:rPr>
            </w:pPr>
            <w:r w:rsidRPr="00533668">
              <w:rPr>
                <w:szCs w:val="22"/>
              </w:rPr>
              <w:t>Others</w:t>
            </w:r>
          </w:p>
        </w:tc>
        <w:tc>
          <w:tcPr>
            <w:tcW w:w="1170" w:type="dxa"/>
          </w:tcPr>
          <w:p w:rsidR="00190E10" w:rsidRPr="00533668" w:rsidRDefault="00190E10">
            <w:pPr>
              <w:pStyle w:val="Heading9"/>
              <w:rPr>
                <w:szCs w:val="22"/>
              </w:rPr>
            </w:pPr>
            <w:r w:rsidRPr="00533668">
              <w:rPr>
                <w:szCs w:val="22"/>
              </w:rPr>
              <w:t>Total</w:t>
            </w:r>
          </w:p>
        </w:tc>
      </w:tr>
      <w:tr w:rsidR="00190E10" w:rsidRPr="00533668" w:rsidTr="002E44CE">
        <w:tblPrEx>
          <w:tblCellMar>
            <w:top w:w="0" w:type="dxa"/>
            <w:bottom w:w="0" w:type="dxa"/>
          </w:tblCellMar>
        </w:tblPrEx>
        <w:tc>
          <w:tcPr>
            <w:tcW w:w="2340" w:type="dxa"/>
          </w:tcPr>
          <w:p w:rsidR="00190E10" w:rsidRPr="00533668" w:rsidRDefault="00190E10">
            <w:pPr>
              <w:tabs>
                <w:tab w:val="left" w:pos="360"/>
              </w:tabs>
              <w:jc w:val="both"/>
              <w:rPr>
                <w:sz w:val="22"/>
                <w:szCs w:val="22"/>
              </w:rPr>
            </w:pPr>
          </w:p>
        </w:tc>
        <w:tc>
          <w:tcPr>
            <w:tcW w:w="1440" w:type="dxa"/>
          </w:tcPr>
          <w:p w:rsidR="00190E10" w:rsidRPr="00533668" w:rsidRDefault="00190E10" w:rsidP="003D44DB">
            <w:pPr>
              <w:ind w:right="330"/>
              <w:jc w:val="right"/>
              <w:rPr>
                <w:sz w:val="22"/>
                <w:szCs w:val="22"/>
              </w:rPr>
            </w:pPr>
            <w:r w:rsidRPr="00533668">
              <w:rPr>
                <w:sz w:val="22"/>
                <w:szCs w:val="22"/>
              </w:rPr>
              <w:t>RM’000</w:t>
            </w:r>
          </w:p>
        </w:tc>
        <w:tc>
          <w:tcPr>
            <w:tcW w:w="2430" w:type="dxa"/>
          </w:tcPr>
          <w:p w:rsidR="00190E10" w:rsidRPr="00533668" w:rsidRDefault="00190E10">
            <w:pPr>
              <w:jc w:val="right"/>
              <w:rPr>
                <w:sz w:val="22"/>
                <w:szCs w:val="22"/>
              </w:rPr>
            </w:pPr>
            <w:r w:rsidRPr="00533668">
              <w:rPr>
                <w:sz w:val="22"/>
                <w:szCs w:val="22"/>
              </w:rPr>
              <w:t>RM’000</w:t>
            </w:r>
          </w:p>
        </w:tc>
        <w:tc>
          <w:tcPr>
            <w:tcW w:w="1260" w:type="dxa"/>
          </w:tcPr>
          <w:p w:rsidR="00190E10" w:rsidRPr="00533668" w:rsidRDefault="00190E10">
            <w:pPr>
              <w:jc w:val="right"/>
              <w:rPr>
                <w:sz w:val="22"/>
                <w:szCs w:val="22"/>
              </w:rPr>
            </w:pPr>
            <w:r w:rsidRPr="00533668">
              <w:rPr>
                <w:sz w:val="22"/>
                <w:szCs w:val="22"/>
              </w:rPr>
              <w:t>RM’000</w:t>
            </w:r>
          </w:p>
        </w:tc>
        <w:tc>
          <w:tcPr>
            <w:tcW w:w="1170" w:type="dxa"/>
          </w:tcPr>
          <w:p w:rsidR="00190E10" w:rsidRPr="00533668" w:rsidRDefault="00190E10">
            <w:pPr>
              <w:jc w:val="right"/>
              <w:rPr>
                <w:sz w:val="22"/>
                <w:szCs w:val="22"/>
              </w:rPr>
            </w:pPr>
            <w:r w:rsidRPr="00533668">
              <w:rPr>
                <w:sz w:val="22"/>
                <w:szCs w:val="22"/>
              </w:rPr>
              <w:t>RM’000</w:t>
            </w:r>
          </w:p>
        </w:tc>
      </w:tr>
      <w:tr w:rsidR="00190E10" w:rsidRPr="00533668" w:rsidTr="002E44CE">
        <w:tblPrEx>
          <w:tblCellMar>
            <w:top w:w="0" w:type="dxa"/>
            <w:bottom w:w="0" w:type="dxa"/>
          </w:tblCellMar>
        </w:tblPrEx>
        <w:tc>
          <w:tcPr>
            <w:tcW w:w="2340" w:type="dxa"/>
          </w:tcPr>
          <w:p w:rsidR="00190E10" w:rsidRPr="00533668" w:rsidRDefault="00B2323C" w:rsidP="002E44CE">
            <w:pPr>
              <w:tabs>
                <w:tab w:val="left" w:pos="360"/>
              </w:tabs>
              <w:jc w:val="both"/>
              <w:rPr>
                <w:sz w:val="22"/>
                <w:szCs w:val="22"/>
              </w:rPr>
            </w:pPr>
            <w:r>
              <w:rPr>
                <w:sz w:val="22"/>
                <w:szCs w:val="22"/>
              </w:rPr>
              <w:t>Profit</w:t>
            </w:r>
            <w:r w:rsidR="002E44CE">
              <w:rPr>
                <w:sz w:val="22"/>
                <w:szCs w:val="22"/>
              </w:rPr>
              <w:t xml:space="preserve">/(Loss) </w:t>
            </w:r>
            <w:r w:rsidR="00190E10" w:rsidRPr="00533668">
              <w:rPr>
                <w:sz w:val="22"/>
                <w:szCs w:val="22"/>
              </w:rPr>
              <w:t>before tax</w:t>
            </w:r>
            <w:r w:rsidR="008534D3">
              <w:rPr>
                <w:sz w:val="22"/>
                <w:szCs w:val="22"/>
              </w:rPr>
              <w:t xml:space="preserve"> </w:t>
            </w:r>
          </w:p>
        </w:tc>
        <w:tc>
          <w:tcPr>
            <w:tcW w:w="1440" w:type="dxa"/>
            <w:vAlign w:val="center"/>
          </w:tcPr>
          <w:p w:rsidR="00165EB4" w:rsidRPr="00F9146E" w:rsidRDefault="00F9146E" w:rsidP="00FF55B5">
            <w:pPr>
              <w:tabs>
                <w:tab w:val="left" w:pos="360"/>
              </w:tabs>
              <w:ind w:right="440"/>
              <w:jc w:val="right"/>
              <w:rPr>
                <w:sz w:val="22"/>
                <w:szCs w:val="22"/>
              </w:rPr>
            </w:pPr>
            <w:r w:rsidRPr="00F9146E">
              <w:rPr>
                <w:sz w:val="22"/>
                <w:szCs w:val="22"/>
              </w:rPr>
              <w:t>40</w:t>
            </w:r>
            <w:r w:rsidR="004A565E" w:rsidRPr="00F9146E">
              <w:rPr>
                <w:sz w:val="22"/>
                <w:szCs w:val="22"/>
              </w:rPr>
              <w:t>,</w:t>
            </w:r>
            <w:r w:rsidRPr="00F9146E">
              <w:rPr>
                <w:sz w:val="22"/>
                <w:szCs w:val="22"/>
              </w:rPr>
              <w:t>38</w:t>
            </w:r>
            <w:r w:rsidR="00FF55B5">
              <w:rPr>
                <w:sz w:val="22"/>
                <w:szCs w:val="22"/>
              </w:rPr>
              <w:t>7</w:t>
            </w:r>
          </w:p>
        </w:tc>
        <w:tc>
          <w:tcPr>
            <w:tcW w:w="2430" w:type="dxa"/>
            <w:vAlign w:val="center"/>
          </w:tcPr>
          <w:p w:rsidR="00190E10" w:rsidRPr="00F9146E" w:rsidRDefault="00F9146E" w:rsidP="009C0F3F">
            <w:pPr>
              <w:tabs>
                <w:tab w:val="left" w:pos="360"/>
              </w:tabs>
              <w:ind w:right="-18"/>
              <w:jc w:val="right"/>
              <w:rPr>
                <w:sz w:val="22"/>
                <w:szCs w:val="22"/>
              </w:rPr>
            </w:pPr>
            <w:r w:rsidRPr="00F9146E">
              <w:rPr>
                <w:sz w:val="22"/>
                <w:szCs w:val="22"/>
              </w:rPr>
              <w:t>(1,073)</w:t>
            </w:r>
          </w:p>
        </w:tc>
        <w:tc>
          <w:tcPr>
            <w:tcW w:w="1260" w:type="dxa"/>
            <w:vAlign w:val="center"/>
          </w:tcPr>
          <w:p w:rsidR="00190E10" w:rsidRPr="00F9146E" w:rsidRDefault="00F9146E" w:rsidP="008F3711">
            <w:pPr>
              <w:tabs>
                <w:tab w:val="left" w:pos="360"/>
              </w:tabs>
              <w:jc w:val="right"/>
              <w:rPr>
                <w:sz w:val="22"/>
                <w:szCs w:val="22"/>
              </w:rPr>
            </w:pPr>
            <w:r w:rsidRPr="00F9146E">
              <w:rPr>
                <w:sz w:val="22"/>
                <w:szCs w:val="22"/>
              </w:rPr>
              <w:t>(72</w:t>
            </w:r>
            <w:r w:rsidR="008F3711">
              <w:rPr>
                <w:sz w:val="22"/>
                <w:szCs w:val="22"/>
              </w:rPr>
              <w:t>2</w:t>
            </w:r>
            <w:r w:rsidRPr="00F9146E">
              <w:rPr>
                <w:sz w:val="22"/>
                <w:szCs w:val="22"/>
              </w:rPr>
              <w:t>)</w:t>
            </w:r>
          </w:p>
        </w:tc>
        <w:tc>
          <w:tcPr>
            <w:tcW w:w="1170" w:type="dxa"/>
            <w:vAlign w:val="center"/>
          </w:tcPr>
          <w:p w:rsidR="00C7689B" w:rsidRPr="00F9146E" w:rsidRDefault="00F9146E" w:rsidP="00FF55B5">
            <w:pPr>
              <w:tabs>
                <w:tab w:val="left" w:pos="360"/>
              </w:tabs>
              <w:jc w:val="right"/>
              <w:rPr>
                <w:sz w:val="22"/>
                <w:szCs w:val="22"/>
              </w:rPr>
            </w:pPr>
            <w:r w:rsidRPr="00F9146E">
              <w:rPr>
                <w:sz w:val="22"/>
                <w:szCs w:val="22"/>
              </w:rPr>
              <w:t>38,59</w:t>
            </w:r>
            <w:r w:rsidR="00FF55B5">
              <w:rPr>
                <w:sz w:val="22"/>
                <w:szCs w:val="22"/>
              </w:rPr>
              <w:t>2</w:t>
            </w:r>
          </w:p>
        </w:tc>
      </w:tr>
      <w:tr w:rsidR="00190E10" w:rsidRPr="00024167" w:rsidTr="002E44CE">
        <w:tblPrEx>
          <w:tblCellMar>
            <w:top w:w="0" w:type="dxa"/>
            <w:bottom w:w="0" w:type="dxa"/>
          </w:tblCellMar>
        </w:tblPrEx>
        <w:tc>
          <w:tcPr>
            <w:tcW w:w="2340" w:type="dxa"/>
          </w:tcPr>
          <w:p w:rsidR="00190E10" w:rsidRPr="00024167" w:rsidRDefault="00B2323C" w:rsidP="00B2323C">
            <w:pPr>
              <w:tabs>
                <w:tab w:val="left" w:pos="360"/>
              </w:tabs>
              <w:jc w:val="both"/>
              <w:rPr>
                <w:sz w:val="22"/>
                <w:szCs w:val="22"/>
              </w:rPr>
            </w:pPr>
            <w:r>
              <w:rPr>
                <w:sz w:val="22"/>
                <w:szCs w:val="22"/>
              </w:rPr>
              <w:t>Profit</w:t>
            </w:r>
            <w:r w:rsidR="002E44CE">
              <w:rPr>
                <w:sz w:val="22"/>
                <w:szCs w:val="22"/>
              </w:rPr>
              <w:t>/(Loss)</w:t>
            </w:r>
            <w:r>
              <w:rPr>
                <w:sz w:val="22"/>
                <w:szCs w:val="22"/>
              </w:rPr>
              <w:t xml:space="preserve"> </w:t>
            </w:r>
            <w:r w:rsidR="00CB4156" w:rsidRPr="00024167">
              <w:rPr>
                <w:sz w:val="22"/>
                <w:szCs w:val="22"/>
              </w:rPr>
              <w:t xml:space="preserve"> </w:t>
            </w:r>
            <w:r w:rsidR="00190E10" w:rsidRPr="00024167">
              <w:rPr>
                <w:sz w:val="22"/>
                <w:szCs w:val="22"/>
              </w:rPr>
              <w:t>after tax</w:t>
            </w:r>
          </w:p>
        </w:tc>
        <w:tc>
          <w:tcPr>
            <w:tcW w:w="1440" w:type="dxa"/>
            <w:vAlign w:val="center"/>
          </w:tcPr>
          <w:p w:rsidR="000D4A56" w:rsidRPr="00F9146E" w:rsidRDefault="00FF55B5" w:rsidP="00FF55B5">
            <w:pPr>
              <w:tabs>
                <w:tab w:val="left" w:pos="0"/>
              </w:tabs>
              <w:ind w:right="440"/>
              <w:jc w:val="right"/>
              <w:rPr>
                <w:sz w:val="22"/>
                <w:szCs w:val="22"/>
              </w:rPr>
            </w:pPr>
            <w:r>
              <w:rPr>
                <w:sz w:val="22"/>
                <w:szCs w:val="22"/>
              </w:rPr>
              <w:t>38,987</w:t>
            </w:r>
          </w:p>
        </w:tc>
        <w:tc>
          <w:tcPr>
            <w:tcW w:w="2430" w:type="dxa"/>
            <w:vAlign w:val="center"/>
          </w:tcPr>
          <w:p w:rsidR="00190E10" w:rsidRPr="00F9146E" w:rsidRDefault="00F9146E" w:rsidP="00FF55B5">
            <w:pPr>
              <w:tabs>
                <w:tab w:val="left" w:pos="360"/>
              </w:tabs>
              <w:jc w:val="right"/>
              <w:rPr>
                <w:sz w:val="22"/>
                <w:szCs w:val="22"/>
              </w:rPr>
            </w:pPr>
            <w:r w:rsidRPr="00F9146E">
              <w:rPr>
                <w:sz w:val="22"/>
                <w:szCs w:val="22"/>
              </w:rPr>
              <w:t>(1,</w:t>
            </w:r>
            <w:r w:rsidR="00FF55B5">
              <w:rPr>
                <w:sz w:val="22"/>
                <w:szCs w:val="22"/>
              </w:rPr>
              <w:t>103</w:t>
            </w:r>
            <w:r w:rsidRPr="00F9146E">
              <w:rPr>
                <w:sz w:val="22"/>
                <w:szCs w:val="22"/>
              </w:rPr>
              <w:t>)</w:t>
            </w:r>
          </w:p>
        </w:tc>
        <w:tc>
          <w:tcPr>
            <w:tcW w:w="1260" w:type="dxa"/>
            <w:vAlign w:val="center"/>
          </w:tcPr>
          <w:p w:rsidR="00190E10" w:rsidRPr="00F9146E" w:rsidRDefault="008F3711" w:rsidP="00ED5559">
            <w:pPr>
              <w:tabs>
                <w:tab w:val="left" w:pos="360"/>
              </w:tabs>
              <w:jc w:val="right"/>
              <w:rPr>
                <w:sz w:val="22"/>
                <w:szCs w:val="22"/>
              </w:rPr>
            </w:pPr>
            <w:r>
              <w:rPr>
                <w:sz w:val="22"/>
                <w:szCs w:val="22"/>
              </w:rPr>
              <w:t>(722</w:t>
            </w:r>
            <w:r w:rsidR="00F9146E" w:rsidRPr="00F9146E">
              <w:rPr>
                <w:sz w:val="22"/>
                <w:szCs w:val="22"/>
              </w:rPr>
              <w:t>)</w:t>
            </w:r>
          </w:p>
        </w:tc>
        <w:tc>
          <w:tcPr>
            <w:tcW w:w="1170" w:type="dxa"/>
            <w:vAlign w:val="center"/>
          </w:tcPr>
          <w:p w:rsidR="00190E10" w:rsidRPr="00F9146E" w:rsidRDefault="00F9146E" w:rsidP="00FF55B5">
            <w:pPr>
              <w:tabs>
                <w:tab w:val="left" w:pos="360"/>
              </w:tabs>
              <w:jc w:val="right"/>
              <w:rPr>
                <w:sz w:val="22"/>
                <w:szCs w:val="22"/>
              </w:rPr>
            </w:pPr>
            <w:r w:rsidRPr="00F9146E">
              <w:rPr>
                <w:sz w:val="22"/>
                <w:szCs w:val="22"/>
              </w:rPr>
              <w:t>3</w:t>
            </w:r>
            <w:r w:rsidR="00FF55B5">
              <w:rPr>
                <w:sz w:val="22"/>
                <w:szCs w:val="22"/>
              </w:rPr>
              <w:t>7</w:t>
            </w:r>
            <w:r w:rsidRPr="00F9146E">
              <w:rPr>
                <w:sz w:val="22"/>
                <w:szCs w:val="22"/>
              </w:rPr>
              <w:t>,</w:t>
            </w:r>
            <w:r w:rsidR="00FF55B5">
              <w:rPr>
                <w:sz w:val="22"/>
                <w:szCs w:val="22"/>
              </w:rPr>
              <w:t>162</w:t>
            </w:r>
          </w:p>
        </w:tc>
      </w:tr>
    </w:tbl>
    <w:p w:rsidR="00FD416C" w:rsidRDefault="00FD416C" w:rsidP="00FD416C"/>
    <w:p w:rsidR="00143975" w:rsidRDefault="00143975" w:rsidP="00FD416C"/>
    <w:p w:rsidR="00FD416C" w:rsidRPr="00FD416C" w:rsidRDefault="00FD416C" w:rsidP="00FD416C"/>
    <w:p w:rsidR="00190E10" w:rsidRPr="00533668" w:rsidRDefault="00190E10" w:rsidP="00B1442C">
      <w:r w:rsidRPr="00B1442C">
        <w:rPr>
          <w:b/>
          <w:sz w:val="22"/>
          <w:szCs w:val="22"/>
        </w:rPr>
        <w:t>A10.</w:t>
      </w:r>
      <w:r w:rsidRPr="00533668">
        <w:tab/>
      </w:r>
      <w:r w:rsidRPr="00B1442C">
        <w:rPr>
          <w:b/>
          <w:bCs/>
          <w:sz w:val="22"/>
          <w:szCs w:val="22"/>
        </w:rPr>
        <w:t>Valuations of Property, Plant and Equipment</w:t>
      </w:r>
    </w:p>
    <w:p w:rsidR="00190E10" w:rsidRPr="00533668" w:rsidRDefault="00190E10">
      <w:pPr>
        <w:tabs>
          <w:tab w:val="left" w:pos="360"/>
        </w:tabs>
        <w:jc w:val="both"/>
        <w:rPr>
          <w:b/>
          <w:sz w:val="22"/>
          <w:szCs w:val="22"/>
        </w:rPr>
      </w:pPr>
    </w:p>
    <w:p w:rsidR="00190E10" w:rsidRPr="00533668" w:rsidRDefault="00190E10">
      <w:pPr>
        <w:tabs>
          <w:tab w:val="left" w:pos="360"/>
        </w:tabs>
        <w:ind w:left="720" w:hanging="360"/>
        <w:jc w:val="both"/>
        <w:rPr>
          <w:bCs/>
          <w:sz w:val="22"/>
          <w:szCs w:val="22"/>
        </w:rPr>
      </w:pPr>
      <w:r w:rsidRPr="00533668">
        <w:rPr>
          <w:b/>
          <w:sz w:val="22"/>
          <w:szCs w:val="22"/>
        </w:rPr>
        <w:tab/>
      </w:r>
      <w:r w:rsidR="00F35EAF">
        <w:rPr>
          <w:sz w:val="22"/>
          <w:szCs w:val="22"/>
        </w:rPr>
        <w:t>The valuations of the properties of the Group which were carried out in 2011 have been brought forward from the previous annual audited financial statements without any amendment.</w:t>
      </w:r>
      <w:r w:rsidR="00FC2F4A">
        <w:rPr>
          <w:bCs/>
          <w:sz w:val="22"/>
          <w:szCs w:val="22"/>
        </w:rPr>
        <w:t xml:space="preserve"> </w:t>
      </w:r>
    </w:p>
    <w:p w:rsidR="00802E09" w:rsidRDefault="00802E09">
      <w:pPr>
        <w:tabs>
          <w:tab w:val="left" w:pos="360"/>
        </w:tabs>
        <w:jc w:val="both"/>
        <w:rPr>
          <w:b/>
          <w:sz w:val="22"/>
          <w:szCs w:val="22"/>
        </w:rPr>
      </w:pPr>
    </w:p>
    <w:p w:rsidR="00E81FC2" w:rsidRPr="00533668" w:rsidRDefault="00E81FC2">
      <w:pPr>
        <w:tabs>
          <w:tab w:val="left" w:pos="360"/>
        </w:tabs>
        <w:jc w:val="both"/>
        <w:rPr>
          <w:b/>
          <w:sz w:val="22"/>
          <w:szCs w:val="22"/>
        </w:rPr>
      </w:pPr>
    </w:p>
    <w:p w:rsidR="00190E10" w:rsidRPr="00533668" w:rsidRDefault="00190E10">
      <w:pPr>
        <w:tabs>
          <w:tab w:val="left" w:pos="720"/>
        </w:tabs>
        <w:jc w:val="both"/>
        <w:rPr>
          <w:b/>
          <w:bCs/>
          <w:sz w:val="22"/>
          <w:szCs w:val="22"/>
        </w:rPr>
      </w:pPr>
      <w:r w:rsidRPr="00533668">
        <w:rPr>
          <w:b/>
          <w:sz w:val="22"/>
          <w:szCs w:val="22"/>
        </w:rPr>
        <w:t>A11.</w:t>
      </w:r>
      <w:r w:rsidRPr="00533668">
        <w:rPr>
          <w:b/>
          <w:bCs/>
          <w:sz w:val="22"/>
          <w:szCs w:val="22"/>
        </w:rPr>
        <w:t xml:space="preserve"> </w:t>
      </w:r>
      <w:r w:rsidRPr="00533668">
        <w:rPr>
          <w:b/>
          <w:bCs/>
          <w:sz w:val="22"/>
          <w:szCs w:val="22"/>
        </w:rPr>
        <w:tab/>
      </w:r>
      <w:r w:rsidR="00D111AE">
        <w:rPr>
          <w:b/>
          <w:bCs/>
          <w:sz w:val="22"/>
          <w:szCs w:val="22"/>
        </w:rPr>
        <w:t>E</w:t>
      </w:r>
      <w:r w:rsidRPr="00533668">
        <w:rPr>
          <w:b/>
          <w:bCs/>
          <w:sz w:val="22"/>
          <w:szCs w:val="22"/>
        </w:rPr>
        <w:t xml:space="preserve">vents </w:t>
      </w:r>
      <w:r w:rsidR="00D111AE">
        <w:rPr>
          <w:b/>
          <w:bCs/>
          <w:sz w:val="22"/>
          <w:szCs w:val="22"/>
        </w:rPr>
        <w:t>After the Interim Period</w:t>
      </w:r>
    </w:p>
    <w:p w:rsidR="00190E10" w:rsidRPr="00533668" w:rsidRDefault="00190E10">
      <w:pPr>
        <w:tabs>
          <w:tab w:val="left" w:pos="360"/>
        </w:tabs>
        <w:jc w:val="both"/>
        <w:rPr>
          <w:b/>
          <w:sz w:val="22"/>
          <w:szCs w:val="22"/>
        </w:rPr>
      </w:pPr>
    </w:p>
    <w:p w:rsidR="00724462" w:rsidRPr="00E714BB" w:rsidRDefault="00E714BB" w:rsidP="00E714BB">
      <w:pPr>
        <w:ind w:left="720"/>
        <w:jc w:val="both"/>
        <w:rPr>
          <w:sz w:val="22"/>
          <w:szCs w:val="22"/>
        </w:rPr>
      </w:pPr>
      <w:r w:rsidRPr="00E714BB">
        <w:rPr>
          <w:sz w:val="22"/>
          <w:szCs w:val="22"/>
        </w:rPr>
        <w:t xml:space="preserve">There are no material events that have arisen in the interval between the end of the current </w:t>
      </w:r>
      <w:r w:rsidRPr="002E44CE">
        <w:rPr>
          <w:sz w:val="22"/>
          <w:szCs w:val="22"/>
        </w:rPr>
        <w:t>quarter ended 3</w:t>
      </w:r>
      <w:r w:rsidR="00A65607">
        <w:rPr>
          <w:sz w:val="22"/>
          <w:szCs w:val="22"/>
        </w:rPr>
        <w:t xml:space="preserve">0 </w:t>
      </w:r>
      <w:r w:rsidR="00F11976">
        <w:rPr>
          <w:sz w:val="22"/>
          <w:szCs w:val="22"/>
        </w:rPr>
        <w:t>September</w:t>
      </w:r>
      <w:r w:rsidR="00A3583C">
        <w:rPr>
          <w:sz w:val="22"/>
          <w:szCs w:val="22"/>
        </w:rPr>
        <w:t xml:space="preserve"> 2014</w:t>
      </w:r>
      <w:r w:rsidRPr="002E44CE">
        <w:rPr>
          <w:sz w:val="22"/>
          <w:szCs w:val="22"/>
        </w:rPr>
        <w:t xml:space="preserve"> to the</w:t>
      </w:r>
      <w:r w:rsidRPr="00E714BB">
        <w:rPr>
          <w:sz w:val="22"/>
          <w:szCs w:val="22"/>
        </w:rPr>
        <w:t xml:space="preserve"> date of this announcement, which would substantially affect the financial results of Group for the current quarter and the financial year to date.</w:t>
      </w:r>
    </w:p>
    <w:p w:rsidR="003003F5" w:rsidRDefault="003003F5" w:rsidP="00D67945">
      <w:pPr>
        <w:rPr>
          <w:sz w:val="22"/>
          <w:szCs w:val="22"/>
        </w:rPr>
      </w:pPr>
    </w:p>
    <w:p w:rsidR="003D44DB" w:rsidRDefault="003D44DB" w:rsidP="00D67945">
      <w:pPr>
        <w:rPr>
          <w:sz w:val="22"/>
          <w:szCs w:val="22"/>
        </w:rPr>
      </w:pPr>
    </w:p>
    <w:p w:rsidR="00BB5D76" w:rsidRDefault="00BB5D76" w:rsidP="00D67945">
      <w:pPr>
        <w:rPr>
          <w:sz w:val="22"/>
          <w:szCs w:val="22"/>
        </w:rPr>
      </w:pPr>
    </w:p>
    <w:p w:rsidR="008C21C8" w:rsidRDefault="008C21C8" w:rsidP="00D67945">
      <w:pPr>
        <w:rPr>
          <w:sz w:val="22"/>
          <w:szCs w:val="22"/>
        </w:rPr>
      </w:pPr>
    </w:p>
    <w:p w:rsidR="008C21C8" w:rsidRDefault="008C21C8" w:rsidP="00D67945">
      <w:pPr>
        <w:rPr>
          <w:sz w:val="22"/>
          <w:szCs w:val="22"/>
        </w:rPr>
      </w:pPr>
    </w:p>
    <w:p w:rsidR="008C21C8" w:rsidRDefault="008C21C8" w:rsidP="00D67945">
      <w:pPr>
        <w:rPr>
          <w:sz w:val="22"/>
          <w:szCs w:val="22"/>
        </w:rPr>
      </w:pPr>
    </w:p>
    <w:p w:rsidR="008C21C8" w:rsidRDefault="008C21C8" w:rsidP="00D67945">
      <w:pPr>
        <w:rPr>
          <w:sz w:val="22"/>
          <w:szCs w:val="22"/>
        </w:rPr>
      </w:pPr>
    </w:p>
    <w:p w:rsidR="008C21C8" w:rsidRDefault="008C21C8" w:rsidP="00D67945">
      <w:pPr>
        <w:rPr>
          <w:sz w:val="22"/>
          <w:szCs w:val="22"/>
        </w:rPr>
      </w:pPr>
    </w:p>
    <w:p w:rsidR="008C21C8" w:rsidRDefault="008C21C8" w:rsidP="00D67945">
      <w:pPr>
        <w:rPr>
          <w:sz w:val="22"/>
          <w:szCs w:val="22"/>
        </w:rPr>
      </w:pPr>
    </w:p>
    <w:p w:rsidR="008C21C8" w:rsidRDefault="008C21C8" w:rsidP="00D67945">
      <w:pPr>
        <w:rPr>
          <w:sz w:val="22"/>
          <w:szCs w:val="22"/>
        </w:rPr>
      </w:pPr>
    </w:p>
    <w:p w:rsidR="008C21C8" w:rsidRDefault="008C21C8" w:rsidP="00D67945">
      <w:pPr>
        <w:rPr>
          <w:sz w:val="22"/>
          <w:szCs w:val="22"/>
        </w:rPr>
      </w:pPr>
    </w:p>
    <w:p w:rsidR="008C21C8" w:rsidRDefault="008C21C8" w:rsidP="00D67945">
      <w:pPr>
        <w:rPr>
          <w:sz w:val="22"/>
          <w:szCs w:val="22"/>
        </w:rPr>
      </w:pPr>
    </w:p>
    <w:p w:rsidR="008C21C8" w:rsidRDefault="008C21C8" w:rsidP="00D67945">
      <w:pPr>
        <w:rPr>
          <w:sz w:val="22"/>
          <w:szCs w:val="22"/>
        </w:rPr>
      </w:pPr>
    </w:p>
    <w:p w:rsidR="008C21C8" w:rsidRDefault="008C21C8" w:rsidP="00D67945">
      <w:pPr>
        <w:rPr>
          <w:sz w:val="22"/>
          <w:szCs w:val="22"/>
        </w:rPr>
      </w:pPr>
    </w:p>
    <w:p w:rsidR="00BB5D76" w:rsidRPr="00533668" w:rsidRDefault="00BB5D76" w:rsidP="00D67945">
      <w:pPr>
        <w:rPr>
          <w:sz w:val="22"/>
          <w:szCs w:val="22"/>
        </w:rPr>
      </w:pPr>
    </w:p>
    <w:p w:rsidR="00190E10" w:rsidRPr="00533668" w:rsidRDefault="00190E10">
      <w:pPr>
        <w:pStyle w:val="Heading1"/>
        <w:tabs>
          <w:tab w:val="left" w:pos="360"/>
          <w:tab w:val="left" w:pos="720"/>
        </w:tabs>
        <w:rPr>
          <w:szCs w:val="22"/>
        </w:rPr>
      </w:pPr>
      <w:r w:rsidRPr="00533668">
        <w:rPr>
          <w:szCs w:val="22"/>
        </w:rPr>
        <w:lastRenderedPageBreak/>
        <w:t xml:space="preserve">A12. </w:t>
      </w:r>
      <w:r w:rsidRPr="00533668">
        <w:rPr>
          <w:szCs w:val="22"/>
        </w:rPr>
        <w:tab/>
        <w:t>Changes In Composition Of The Group</w:t>
      </w:r>
    </w:p>
    <w:p w:rsidR="00D148FE" w:rsidRPr="00533668" w:rsidRDefault="00D148FE">
      <w:pPr>
        <w:tabs>
          <w:tab w:val="left" w:pos="360"/>
        </w:tabs>
        <w:jc w:val="both"/>
        <w:rPr>
          <w:bCs/>
          <w:sz w:val="22"/>
          <w:szCs w:val="22"/>
        </w:rPr>
      </w:pPr>
    </w:p>
    <w:p w:rsidR="00D33B75" w:rsidRPr="00533668" w:rsidRDefault="00D33B75" w:rsidP="00D33B75">
      <w:pPr>
        <w:ind w:left="720"/>
        <w:jc w:val="both"/>
        <w:rPr>
          <w:sz w:val="22"/>
          <w:szCs w:val="22"/>
        </w:rPr>
      </w:pPr>
      <w:r w:rsidRPr="00533668">
        <w:rPr>
          <w:sz w:val="22"/>
          <w:szCs w:val="22"/>
        </w:rPr>
        <w:t xml:space="preserve">There were no major changes in the composition of the Group during the </w:t>
      </w:r>
      <w:r w:rsidR="00C86567">
        <w:rPr>
          <w:sz w:val="22"/>
          <w:szCs w:val="22"/>
        </w:rPr>
        <w:t>year</w:t>
      </w:r>
      <w:r w:rsidRPr="00533668">
        <w:rPr>
          <w:sz w:val="22"/>
          <w:szCs w:val="22"/>
        </w:rPr>
        <w:t xml:space="preserve"> except for the completion of the acquisition of </w:t>
      </w:r>
      <w:r>
        <w:rPr>
          <w:sz w:val="22"/>
          <w:szCs w:val="22"/>
        </w:rPr>
        <w:t>70</w:t>
      </w:r>
      <w:r w:rsidRPr="00533668">
        <w:rPr>
          <w:sz w:val="22"/>
          <w:szCs w:val="22"/>
        </w:rPr>
        <w:t xml:space="preserve"> % of </w:t>
      </w:r>
      <w:r>
        <w:rPr>
          <w:sz w:val="22"/>
          <w:szCs w:val="22"/>
        </w:rPr>
        <w:t>PT Lestari Agribisnis Indonesia</w:t>
      </w:r>
      <w:r w:rsidRPr="00533668">
        <w:rPr>
          <w:sz w:val="22"/>
          <w:szCs w:val="22"/>
        </w:rPr>
        <w:t>.</w:t>
      </w:r>
    </w:p>
    <w:p w:rsidR="00D33B75" w:rsidRPr="00533668" w:rsidRDefault="00D33B75" w:rsidP="00D33B75">
      <w:pPr>
        <w:ind w:left="720"/>
        <w:jc w:val="both"/>
        <w:rPr>
          <w:sz w:val="22"/>
          <w:szCs w:val="22"/>
        </w:rPr>
      </w:pPr>
    </w:p>
    <w:p w:rsidR="00D33B75" w:rsidRPr="00533668" w:rsidRDefault="00D33B75" w:rsidP="00D33B75">
      <w:pPr>
        <w:ind w:left="720"/>
        <w:jc w:val="both"/>
        <w:rPr>
          <w:sz w:val="22"/>
          <w:szCs w:val="22"/>
        </w:rPr>
      </w:pPr>
      <w:r w:rsidRPr="00533668">
        <w:rPr>
          <w:sz w:val="22"/>
          <w:szCs w:val="22"/>
        </w:rPr>
        <w:t>The effect of the acquisitions of the subsidiar</w:t>
      </w:r>
      <w:r>
        <w:rPr>
          <w:sz w:val="22"/>
          <w:szCs w:val="22"/>
        </w:rPr>
        <w:t>y</w:t>
      </w:r>
      <w:r w:rsidRPr="00533668">
        <w:rPr>
          <w:sz w:val="22"/>
          <w:szCs w:val="22"/>
        </w:rPr>
        <w:t xml:space="preserve"> on the financial results of the Group in the current </w:t>
      </w:r>
      <w:r w:rsidR="00C86567">
        <w:rPr>
          <w:sz w:val="22"/>
          <w:szCs w:val="22"/>
        </w:rPr>
        <w:t>year</w:t>
      </w:r>
      <w:r w:rsidRPr="00533668">
        <w:rPr>
          <w:sz w:val="22"/>
          <w:szCs w:val="22"/>
        </w:rPr>
        <w:t xml:space="preserve"> is as follows: -</w:t>
      </w:r>
    </w:p>
    <w:p w:rsidR="00D33B75" w:rsidRPr="00533668" w:rsidRDefault="00D33B75" w:rsidP="00D33B75">
      <w:pPr>
        <w:ind w:left="720"/>
        <w:jc w:val="both"/>
        <w:rPr>
          <w:sz w:val="22"/>
          <w:szCs w:val="22"/>
        </w:rPr>
      </w:pPr>
    </w:p>
    <w:tbl>
      <w:tblPr>
        <w:tblW w:w="0" w:type="auto"/>
        <w:tblInd w:w="828" w:type="dxa"/>
        <w:tblLook w:val="01E0"/>
      </w:tblPr>
      <w:tblGrid>
        <w:gridCol w:w="2340"/>
        <w:gridCol w:w="1440"/>
        <w:gridCol w:w="1080"/>
      </w:tblGrid>
      <w:tr w:rsidR="00D33B75" w:rsidRPr="00D33B75" w:rsidTr="00D33B75">
        <w:tc>
          <w:tcPr>
            <w:tcW w:w="2340" w:type="dxa"/>
          </w:tcPr>
          <w:p w:rsidR="00D33B75" w:rsidRPr="00D33B75" w:rsidRDefault="00D33B75" w:rsidP="00D33B75">
            <w:pPr>
              <w:jc w:val="both"/>
              <w:rPr>
                <w:rFonts w:eastAsia="Calibri"/>
                <w:sz w:val="22"/>
                <w:szCs w:val="22"/>
              </w:rPr>
            </w:pPr>
          </w:p>
        </w:tc>
        <w:tc>
          <w:tcPr>
            <w:tcW w:w="1440" w:type="dxa"/>
          </w:tcPr>
          <w:p w:rsidR="00D33B75" w:rsidRPr="00D33B75" w:rsidRDefault="00D33B75" w:rsidP="00D33B75">
            <w:pPr>
              <w:jc w:val="both"/>
              <w:rPr>
                <w:rFonts w:eastAsia="Calibri"/>
                <w:sz w:val="22"/>
                <w:szCs w:val="22"/>
              </w:rPr>
            </w:pPr>
          </w:p>
        </w:tc>
        <w:tc>
          <w:tcPr>
            <w:tcW w:w="1080" w:type="dxa"/>
          </w:tcPr>
          <w:p w:rsidR="00D33B75" w:rsidRPr="00D33B75" w:rsidRDefault="00D33B75" w:rsidP="00D33B75">
            <w:pPr>
              <w:jc w:val="right"/>
              <w:rPr>
                <w:rFonts w:eastAsia="Calibri"/>
                <w:sz w:val="22"/>
                <w:szCs w:val="22"/>
              </w:rPr>
            </w:pPr>
            <w:r w:rsidRPr="00D33B75">
              <w:rPr>
                <w:rFonts w:eastAsia="Calibri"/>
                <w:sz w:val="22"/>
                <w:szCs w:val="22"/>
              </w:rPr>
              <w:t>RM’000</w:t>
            </w:r>
          </w:p>
        </w:tc>
      </w:tr>
      <w:tr w:rsidR="00D33B75" w:rsidRPr="00786E0C" w:rsidTr="00D33B75">
        <w:tc>
          <w:tcPr>
            <w:tcW w:w="2340" w:type="dxa"/>
          </w:tcPr>
          <w:p w:rsidR="00D33B75" w:rsidRPr="00786E0C" w:rsidRDefault="00D33B75" w:rsidP="00D33B75">
            <w:pPr>
              <w:jc w:val="both"/>
              <w:rPr>
                <w:rFonts w:eastAsia="Calibri"/>
                <w:sz w:val="22"/>
                <w:szCs w:val="22"/>
              </w:rPr>
            </w:pPr>
            <w:r w:rsidRPr="00786E0C">
              <w:rPr>
                <w:rFonts w:eastAsia="Calibri"/>
                <w:sz w:val="22"/>
                <w:szCs w:val="22"/>
              </w:rPr>
              <w:t>Revenue</w:t>
            </w:r>
          </w:p>
        </w:tc>
        <w:tc>
          <w:tcPr>
            <w:tcW w:w="1440" w:type="dxa"/>
          </w:tcPr>
          <w:p w:rsidR="00D33B75" w:rsidRPr="00786E0C" w:rsidRDefault="00D33B75" w:rsidP="00D33B75">
            <w:pPr>
              <w:jc w:val="both"/>
              <w:rPr>
                <w:rFonts w:eastAsia="Calibri"/>
                <w:sz w:val="22"/>
                <w:szCs w:val="22"/>
              </w:rPr>
            </w:pPr>
          </w:p>
        </w:tc>
        <w:tc>
          <w:tcPr>
            <w:tcW w:w="1080" w:type="dxa"/>
          </w:tcPr>
          <w:p w:rsidR="00D33B75" w:rsidRPr="00786E0C" w:rsidRDefault="00786E0C" w:rsidP="00786E0C">
            <w:pPr>
              <w:ind w:right="110"/>
              <w:jc w:val="center"/>
              <w:rPr>
                <w:rFonts w:eastAsia="Calibri"/>
                <w:sz w:val="22"/>
                <w:szCs w:val="22"/>
              </w:rPr>
            </w:pPr>
            <w:r w:rsidRPr="00786E0C">
              <w:rPr>
                <w:rFonts w:eastAsia="Calibri"/>
                <w:sz w:val="22"/>
                <w:szCs w:val="22"/>
              </w:rPr>
              <w:t>12</w:t>
            </w:r>
            <w:r w:rsidR="00D33B75" w:rsidRPr="00786E0C">
              <w:rPr>
                <w:rFonts w:eastAsia="Calibri"/>
                <w:sz w:val="22"/>
                <w:szCs w:val="22"/>
              </w:rPr>
              <w:t>,</w:t>
            </w:r>
            <w:r w:rsidRPr="00786E0C">
              <w:rPr>
                <w:rFonts w:eastAsia="Calibri"/>
                <w:sz w:val="22"/>
                <w:szCs w:val="22"/>
              </w:rPr>
              <w:t>98</w:t>
            </w:r>
            <w:r w:rsidR="004F100D" w:rsidRPr="00786E0C">
              <w:rPr>
                <w:rFonts w:eastAsia="Calibri"/>
                <w:sz w:val="22"/>
                <w:szCs w:val="22"/>
              </w:rPr>
              <w:t>2</w:t>
            </w:r>
          </w:p>
        </w:tc>
      </w:tr>
      <w:tr w:rsidR="00D33B75" w:rsidRPr="00786E0C" w:rsidTr="00D33B75">
        <w:tc>
          <w:tcPr>
            <w:tcW w:w="2340" w:type="dxa"/>
          </w:tcPr>
          <w:p w:rsidR="00D33B75" w:rsidRPr="00786E0C" w:rsidRDefault="00D33B75" w:rsidP="00D33B75">
            <w:pPr>
              <w:jc w:val="both"/>
              <w:rPr>
                <w:rFonts w:eastAsia="Calibri"/>
                <w:sz w:val="22"/>
                <w:szCs w:val="22"/>
              </w:rPr>
            </w:pPr>
            <w:r w:rsidRPr="00786E0C">
              <w:rPr>
                <w:rFonts w:eastAsia="Calibri"/>
                <w:sz w:val="22"/>
                <w:szCs w:val="22"/>
              </w:rPr>
              <w:t>Expenses</w:t>
            </w:r>
          </w:p>
        </w:tc>
        <w:tc>
          <w:tcPr>
            <w:tcW w:w="1440" w:type="dxa"/>
          </w:tcPr>
          <w:p w:rsidR="00D33B75" w:rsidRPr="00786E0C" w:rsidRDefault="00D33B75" w:rsidP="00D33B75">
            <w:pPr>
              <w:jc w:val="both"/>
              <w:rPr>
                <w:rFonts w:eastAsia="Calibri"/>
                <w:sz w:val="22"/>
                <w:szCs w:val="22"/>
              </w:rPr>
            </w:pPr>
          </w:p>
        </w:tc>
        <w:tc>
          <w:tcPr>
            <w:tcW w:w="1080" w:type="dxa"/>
            <w:tcBorders>
              <w:bottom w:val="single" w:sz="4" w:space="0" w:color="auto"/>
            </w:tcBorders>
          </w:tcPr>
          <w:p w:rsidR="00D33B75" w:rsidRPr="00786E0C" w:rsidRDefault="00D33B75" w:rsidP="00786E0C">
            <w:pPr>
              <w:ind w:right="110"/>
              <w:jc w:val="center"/>
              <w:rPr>
                <w:rFonts w:eastAsia="Calibri"/>
                <w:sz w:val="22"/>
                <w:szCs w:val="22"/>
              </w:rPr>
            </w:pPr>
            <w:r w:rsidRPr="00786E0C">
              <w:rPr>
                <w:rFonts w:eastAsia="Calibri"/>
                <w:sz w:val="22"/>
                <w:szCs w:val="22"/>
              </w:rPr>
              <w:t>(</w:t>
            </w:r>
            <w:r w:rsidR="00786E0C" w:rsidRPr="00786E0C">
              <w:rPr>
                <w:rFonts w:eastAsia="Calibri"/>
                <w:sz w:val="22"/>
                <w:szCs w:val="22"/>
              </w:rPr>
              <w:t>12,</w:t>
            </w:r>
            <w:r w:rsidR="00A73CD5" w:rsidRPr="00786E0C">
              <w:rPr>
                <w:rFonts w:eastAsia="Calibri"/>
                <w:sz w:val="22"/>
                <w:szCs w:val="22"/>
              </w:rPr>
              <w:t>4</w:t>
            </w:r>
            <w:r w:rsidR="00786E0C" w:rsidRPr="00786E0C">
              <w:rPr>
                <w:rFonts w:eastAsia="Calibri"/>
                <w:sz w:val="22"/>
                <w:szCs w:val="22"/>
              </w:rPr>
              <w:t>73</w:t>
            </w:r>
            <w:r w:rsidRPr="00786E0C">
              <w:rPr>
                <w:rFonts w:eastAsia="Calibri"/>
                <w:sz w:val="22"/>
                <w:szCs w:val="22"/>
              </w:rPr>
              <w:t>)</w:t>
            </w:r>
          </w:p>
        </w:tc>
      </w:tr>
      <w:tr w:rsidR="00D33B75" w:rsidRPr="00786E0C" w:rsidTr="00D33B75">
        <w:tc>
          <w:tcPr>
            <w:tcW w:w="2340" w:type="dxa"/>
          </w:tcPr>
          <w:p w:rsidR="00D33B75" w:rsidRPr="00786E0C" w:rsidRDefault="00D33B75" w:rsidP="00D33B75">
            <w:pPr>
              <w:jc w:val="both"/>
              <w:rPr>
                <w:rFonts w:eastAsia="Calibri"/>
                <w:sz w:val="22"/>
                <w:szCs w:val="22"/>
              </w:rPr>
            </w:pPr>
          </w:p>
        </w:tc>
        <w:tc>
          <w:tcPr>
            <w:tcW w:w="1440" w:type="dxa"/>
          </w:tcPr>
          <w:p w:rsidR="00D33B75" w:rsidRPr="00786E0C" w:rsidRDefault="00D33B75" w:rsidP="00D33B75">
            <w:pPr>
              <w:jc w:val="both"/>
              <w:rPr>
                <w:rFonts w:eastAsia="Calibri"/>
                <w:sz w:val="22"/>
                <w:szCs w:val="22"/>
              </w:rPr>
            </w:pPr>
          </w:p>
        </w:tc>
        <w:tc>
          <w:tcPr>
            <w:tcW w:w="1080" w:type="dxa"/>
            <w:tcBorders>
              <w:top w:val="single" w:sz="4" w:space="0" w:color="auto"/>
            </w:tcBorders>
          </w:tcPr>
          <w:p w:rsidR="00D33B75" w:rsidRPr="00786E0C" w:rsidRDefault="00786E0C" w:rsidP="00786E0C">
            <w:pPr>
              <w:ind w:right="220"/>
              <w:jc w:val="center"/>
              <w:rPr>
                <w:rFonts w:eastAsia="Calibri"/>
                <w:sz w:val="22"/>
                <w:szCs w:val="22"/>
              </w:rPr>
            </w:pPr>
            <w:r w:rsidRPr="00786E0C">
              <w:rPr>
                <w:rFonts w:eastAsia="Calibri"/>
                <w:sz w:val="22"/>
                <w:szCs w:val="22"/>
              </w:rPr>
              <w:t>509</w:t>
            </w:r>
          </w:p>
        </w:tc>
      </w:tr>
      <w:tr w:rsidR="00D33B75" w:rsidRPr="00786E0C" w:rsidTr="00D33B75">
        <w:tc>
          <w:tcPr>
            <w:tcW w:w="2340" w:type="dxa"/>
          </w:tcPr>
          <w:p w:rsidR="00D33B75" w:rsidRPr="00786E0C" w:rsidRDefault="00D33B75" w:rsidP="00D33B75">
            <w:pPr>
              <w:jc w:val="both"/>
              <w:rPr>
                <w:rFonts w:eastAsia="Calibri"/>
                <w:sz w:val="22"/>
                <w:szCs w:val="22"/>
              </w:rPr>
            </w:pPr>
            <w:r w:rsidRPr="00786E0C">
              <w:rPr>
                <w:rFonts w:eastAsia="Calibri"/>
                <w:sz w:val="22"/>
                <w:szCs w:val="22"/>
              </w:rPr>
              <w:t>Less: Minority interests</w:t>
            </w:r>
          </w:p>
        </w:tc>
        <w:tc>
          <w:tcPr>
            <w:tcW w:w="1440" w:type="dxa"/>
          </w:tcPr>
          <w:p w:rsidR="00D33B75" w:rsidRPr="00786E0C" w:rsidRDefault="00D33B75" w:rsidP="00D33B75">
            <w:pPr>
              <w:jc w:val="both"/>
              <w:rPr>
                <w:rFonts w:ascii="Calibri" w:eastAsia="Calibri" w:hAnsi="Calibri"/>
                <w:sz w:val="22"/>
                <w:szCs w:val="22"/>
              </w:rPr>
            </w:pPr>
          </w:p>
        </w:tc>
        <w:tc>
          <w:tcPr>
            <w:tcW w:w="1080" w:type="dxa"/>
            <w:tcBorders>
              <w:bottom w:val="single" w:sz="4" w:space="0" w:color="auto"/>
            </w:tcBorders>
          </w:tcPr>
          <w:p w:rsidR="00D33B75" w:rsidRPr="00786E0C" w:rsidRDefault="00D33B75" w:rsidP="00786E0C">
            <w:pPr>
              <w:ind w:right="110"/>
              <w:jc w:val="center"/>
              <w:rPr>
                <w:rFonts w:eastAsia="Calibri"/>
                <w:sz w:val="22"/>
                <w:szCs w:val="22"/>
              </w:rPr>
            </w:pPr>
            <w:r w:rsidRPr="00786E0C">
              <w:rPr>
                <w:rFonts w:eastAsia="Calibri"/>
                <w:sz w:val="22"/>
                <w:szCs w:val="22"/>
              </w:rPr>
              <w:t>(</w:t>
            </w:r>
            <w:r w:rsidR="00786E0C" w:rsidRPr="00786E0C">
              <w:rPr>
                <w:rFonts w:eastAsia="Calibri"/>
                <w:sz w:val="22"/>
                <w:szCs w:val="22"/>
              </w:rPr>
              <w:t>152</w:t>
            </w:r>
            <w:r w:rsidRPr="00786E0C">
              <w:rPr>
                <w:rFonts w:eastAsia="Calibri"/>
                <w:sz w:val="22"/>
                <w:szCs w:val="22"/>
              </w:rPr>
              <w:t>)</w:t>
            </w:r>
          </w:p>
        </w:tc>
      </w:tr>
      <w:tr w:rsidR="00D33B75" w:rsidRPr="00786E0C" w:rsidTr="00D33B75">
        <w:tc>
          <w:tcPr>
            <w:tcW w:w="2340" w:type="dxa"/>
          </w:tcPr>
          <w:p w:rsidR="00D33B75" w:rsidRPr="00786E0C" w:rsidRDefault="00D33B75" w:rsidP="00D33B75">
            <w:pPr>
              <w:jc w:val="both"/>
              <w:rPr>
                <w:rFonts w:ascii="Calibri" w:eastAsia="Calibri" w:hAnsi="Calibri"/>
                <w:sz w:val="22"/>
                <w:szCs w:val="22"/>
              </w:rPr>
            </w:pPr>
          </w:p>
        </w:tc>
        <w:tc>
          <w:tcPr>
            <w:tcW w:w="1440" w:type="dxa"/>
          </w:tcPr>
          <w:p w:rsidR="00D33B75" w:rsidRPr="00786E0C" w:rsidRDefault="00D33B75" w:rsidP="00D33B75">
            <w:pPr>
              <w:jc w:val="both"/>
              <w:rPr>
                <w:rFonts w:ascii="Calibri" w:eastAsia="Calibri" w:hAnsi="Calibri"/>
                <w:sz w:val="22"/>
                <w:szCs w:val="22"/>
              </w:rPr>
            </w:pPr>
          </w:p>
        </w:tc>
        <w:tc>
          <w:tcPr>
            <w:tcW w:w="1080" w:type="dxa"/>
            <w:tcBorders>
              <w:top w:val="single" w:sz="4" w:space="0" w:color="auto"/>
              <w:bottom w:val="single" w:sz="4" w:space="0" w:color="auto"/>
            </w:tcBorders>
          </w:tcPr>
          <w:p w:rsidR="00D33B75" w:rsidRPr="00786E0C" w:rsidRDefault="00D33B75" w:rsidP="00786E0C">
            <w:pPr>
              <w:ind w:right="110"/>
              <w:jc w:val="center"/>
              <w:rPr>
                <w:rFonts w:eastAsia="Calibri"/>
                <w:sz w:val="22"/>
                <w:szCs w:val="22"/>
              </w:rPr>
            </w:pPr>
            <w:r w:rsidRPr="00786E0C">
              <w:rPr>
                <w:rFonts w:eastAsia="Calibri"/>
                <w:sz w:val="22"/>
                <w:szCs w:val="22"/>
              </w:rPr>
              <w:t>(</w:t>
            </w:r>
            <w:r w:rsidR="00786E0C" w:rsidRPr="00786E0C">
              <w:rPr>
                <w:rFonts w:eastAsia="Calibri"/>
                <w:sz w:val="22"/>
                <w:szCs w:val="22"/>
              </w:rPr>
              <w:t>357</w:t>
            </w:r>
            <w:r w:rsidRPr="00786E0C">
              <w:rPr>
                <w:rFonts w:eastAsia="Calibri"/>
                <w:sz w:val="22"/>
                <w:szCs w:val="22"/>
              </w:rPr>
              <w:t>)</w:t>
            </w:r>
          </w:p>
        </w:tc>
      </w:tr>
    </w:tbl>
    <w:p w:rsidR="00D33B75" w:rsidRPr="00786E0C" w:rsidRDefault="00D33B75" w:rsidP="00D33B75">
      <w:pPr>
        <w:ind w:left="720"/>
        <w:jc w:val="both"/>
        <w:rPr>
          <w:sz w:val="22"/>
          <w:szCs w:val="22"/>
        </w:rPr>
      </w:pPr>
    </w:p>
    <w:p w:rsidR="00D33B75" w:rsidRPr="00786E0C" w:rsidRDefault="00D33B75" w:rsidP="00D33B75">
      <w:pPr>
        <w:ind w:left="720"/>
        <w:jc w:val="both"/>
        <w:rPr>
          <w:sz w:val="22"/>
          <w:szCs w:val="22"/>
        </w:rPr>
      </w:pPr>
    </w:p>
    <w:p w:rsidR="00D33B75" w:rsidRPr="00786E0C" w:rsidRDefault="00D33B75" w:rsidP="00D33B75">
      <w:pPr>
        <w:ind w:left="720"/>
        <w:jc w:val="both"/>
        <w:rPr>
          <w:sz w:val="22"/>
          <w:szCs w:val="22"/>
        </w:rPr>
      </w:pPr>
    </w:p>
    <w:p w:rsidR="00D33B75" w:rsidRPr="00786E0C" w:rsidRDefault="00D33B75" w:rsidP="00D33B75">
      <w:pPr>
        <w:ind w:left="720"/>
        <w:jc w:val="both"/>
        <w:rPr>
          <w:sz w:val="22"/>
          <w:szCs w:val="22"/>
        </w:rPr>
      </w:pPr>
      <w:r w:rsidRPr="00786E0C">
        <w:rPr>
          <w:sz w:val="22"/>
          <w:szCs w:val="22"/>
        </w:rPr>
        <w:t xml:space="preserve">The effect of the acquisitions of the subsidiary on the financial position of the Group in the current </w:t>
      </w:r>
      <w:r w:rsidR="00C86567">
        <w:rPr>
          <w:sz w:val="22"/>
          <w:szCs w:val="22"/>
        </w:rPr>
        <w:t>year</w:t>
      </w:r>
      <w:r w:rsidRPr="00786E0C">
        <w:rPr>
          <w:sz w:val="22"/>
          <w:szCs w:val="22"/>
        </w:rPr>
        <w:t xml:space="preserve"> is as follows: -</w:t>
      </w:r>
    </w:p>
    <w:p w:rsidR="00D33B75" w:rsidRPr="00786E0C" w:rsidRDefault="00D33B75" w:rsidP="00D33B75">
      <w:pPr>
        <w:ind w:left="720"/>
        <w:jc w:val="both"/>
        <w:rPr>
          <w:sz w:val="22"/>
          <w:szCs w:val="22"/>
        </w:rPr>
      </w:pPr>
    </w:p>
    <w:tbl>
      <w:tblPr>
        <w:tblW w:w="0" w:type="auto"/>
        <w:tblInd w:w="828" w:type="dxa"/>
        <w:tblLayout w:type="fixed"/>
        <w:tblLook w:val="01E0"/>
      </w:tblPr>
      <w:tblGrid>
        <w:gridCol w:w="2700"/>
        <w:gridCol w:w="1080"/>
        <w:gridCol w:w="1080"/>
      </w:tblGrid>
      <w:tr w:rsidR="00D33B75" w:rsidRPr="00786E0C" w:rsidTr="00D33B75">
        <w:tc>
          <w:tcPr>
            <w:tcW w:w="2700" w:type="dxa"/>
          </w:tcPr>
          <w:p w:rsidR="00D33B75" w:rsidRPr="00786E0C" w:rsidRDefault="00D33B75" w:rsidP="00D33B75">
            <w:pPr>
              <w:jc w:val="both"/>
              <w:rPr>
                <w:rFonts w:eastAsia="Calibri"/>
                <w:sz w:val="22"/>
                <w:szCs w:val="22"/>
              </w:rPr>
            </w:pPr>
          </w:p>
        </w:tc>
        <w:tc>
          <w:tcPr>
            <w:tcW w:w="1080" w:type="dxa"/>
          </w:tcPr>
          <w:p w:rsidR="00D33B75" w:rsidRPr="00786E0C" w:rsidRDefault="00D33B75" w:rsidP="00D33B75">
            <w:pPr>
              <w:jc w:val="both"/>
              <w:rPr>
                <w:rFonts w:eastAsia="Calibri"/>
                <w:sz w:val="22"/>
                <w:szCs w:val="22"/>
              </w:rPr>
            </w:pPr>
          </w:p>
        </w:tc>
        <w:tc>
          <w:tcPr>
            <w:tcW w:w="1080" w:type="dxa"/>
          </w:tcPr>
          <w:p w:rsidR="00D33B75" w:rsidRPr="00786E0C" w:rsidRDefault="00D33B75" w:rsidP="00D33B75">
            <w:pPr>
              <w:jc w:val="right"/>
              <w:rPr>
                <w:rFonts w:eastAsia="Calibri"/>
                <w:sz w:val="22"/>
                <w:szCs w:val="22"/>
              </w:rPr>
            </w:pPr>
            <w:r w:rsidRPr="00786E0C">
              <w:rPr>
                <w:rFonts w:eastAsia="Calibri"/>
                <w:sz w:val="22"/>
                <w:szCs w:val="22"/>
              </w:rPr>
              <w:t>RM’000</w:t>
            </w:r>
          </w:p>
        </w:tc>
      </w:tr>
      <w:tr w:rsidR="00D33B75" w:rsidRPr="00786E0C" w:rsidTr="00D33B75">
        <w:tc>
          <w:tcPr>
            <w:tcW w:w="2700" w:type="dxa"/>
          </w:tcPr>
          <w:p w:rsidR="00D33B75" w:rsidRPr="00786E0C" w:rsidRDefault="00D33B75" w:rsidP="00D33B75">
            <w:pPr>
              <w:jc w:val="both"/>
              <w:rPr>
                <w:rFonts w:eastAsia="Calibri"/>
                <w:sz w:val="22"/>
                <w:szCs w:val="22"/>
              </w:rPr>
            </w:pPr>
            <w:r w:rsidRPr="00786E0C">
              <w:rPr>
                <w:rFonts w:eastAsia="Calibri"/>
                <w:sz w:val="22"/>
                <w:szCs w:val="22"/>
              </w:rPr>
              <w:t>Non-current assets</w:t>
            </w:r>
          </w:p>
        </w:tc>
        <w:tc>
          <w:tcPr>
            <w:tcW w:w="1080" w:type="dxa"/>
          </w:tcPr>
          <w:p w:rsidR="00D33B75" w:rsidRPr="00786E0C" w:rsidRDefault="00D33B75" w:rsidP="00D33B75">
            <w:pPr>
              <w:jc w:val="both"/>
              <w:rPr>
                <w:rFonts w:eastAsia="Calibri"/>
                <w:sz w:val="22"/>
                <w:szCs w:val="22"/>
              </w:rPr>
            </w:pPr>
          </w:p>
        </w:tc>
        <w:tc>
          <w:tcPr>
            <w:tcW w:w="1080" w:type="dxa"/>
          </w:tcPr>
          <w:p w:rsidR="00D33B75" w:rsidRPr="00786E0C" w:rsidRDefault="00470629" w:rsidP="00786E0C">
            <w:pPr>
              <w:jc w:val="right"/>
              <w:rPr>
                <w:rFonts w:eastAsia="Calibri"/>
                <w:sz w:val="22"/>
                <w:szCs w:val="22"/>
              </w:rPr>
            </w:pPr>
            <w:r w:rsidRPr="00786E0C">
              <w:rPr>
                <w:rFonts w:eastAsia="Calibri"/>
                <w:sz w:val="22"/>
                <w:szCs w:val="22"/>
              </w:rPr>
              <w:t>1</w:t>
            </w:r>
            <w:r w:rsidR="009543B3" w:rsidRPr="00786E0C">
              <w:rPr>
                <w:rFonts w:eastAsia="Calibri"/>
                <w:sz w:val="22"/>
                <w:szCs w:val="22"/>
              </w:rPr>
              <w:t>0</w:t>
            </w:r>
            <w:r w:rsidR="00D33B75" w:rsidRPr="00786E0C">
              <w:rPr>
                <w:rFonts w:eastAsia="Calibri"/>
                <w:sz w:val="22"/>
                <w:szCs w:val="22"/>
              </w:rPr>
              <w:t>,</w:t>
            </w:r>
            <w:r w:rsidR="00786E0C" w:rsidRPr="00786E0C">
              <w:rPr>
                <w:rFonts w:eastAsia="Calibri"/>
                <w:sz w:val="22"/>
                <w:szCs w:val="22"/>
              </w:rPr>
              <w:t>1</w:t>
            </w:r>
            <w:r w:rsidR="009543B3" w:rsidRPr="00786E0C">
              <w:rPr>
                <w:rFonts w:eastAsia="Calibri"/>
                <w:sz w:val="22"/>
                <w:szCs w:val="22"/>
              </w:rPr>
              <w:t>3</w:t>
            </w:r>
            <w:r w:rsidR="00786E0C" w:rsidRPr="00786E0C">
              <w:rPr>
                <w:rFonts w:eastAsia="Calibri"/>
                <w:sz w:val="22"/>
                <w:szCs w:val="22"/>
              </w:rPr>
              <w:t>5</w:t>
            </w:r>
          </w:p>
        </w:tc>
      </w:tr>
      <w:tr w:rsidR="00D33B75" w:rsidRPr="00786E0C" w:rsidTr="00D33B75">
        <w:tc>
          <w:tcPr>
            <w:tcW w:w="2700" w:type="dxa"/>
          </w:tcPr>
          <w:p w:rsidR="00D33B75" w:rsidRPr="00786E0C" w:rsidRDefault="00D33B75" w:rsidP="00D33B75">
            <w:pPr>
              <w:jc w:val="both"/>
              <w:rPr>
                <w:rFonts w:eastAsia="Calibri"/>
                <w:sz w:val="22"/>
                <w:szCs w:val="22"/>
              </w:rPr>
            </w:pPr>
            <w:r w:rsidRPr="00786E0C">
              <w:rPr>
                <w:rFonts w:eastAsia="Calibri"/>
                <w:sz w:val="22"/>
                <w:szCs w:val="22"/>
              </w:rPr>
              <w:t>Current assets</w:t>
            </w:r>
          </w:p>
        </w:tc>
        <w:tc>
          <w:tcPr>
            <w:tcW w:w="1080" w:type="dxa"/>
          </w:tcPr>
          <w:p w:rsidR="00D33B75" w:rsidRPr="00786E0C" w:rsidRDefault="00D33B75" w:rsidP="00D33B75">
            <w:pPr>
              <w:jc w:val="both"/>
              <w:rPr>
                <w:rFonts w:eastAsia="Calibri"/>
                <w:sz w:val="22"/>
                <w:szCs w:val="22"/>
              </w:rPr>
            </w:pPr>
          </w:p>
        </w:tc>
        <w:tc>
          <w:tcPr>
            <w:tcW w:w="1080" w:type="dxa"/>
          </w:tcPr>
          <w:p w:rsidR="00D33B75" w:rsidRPr="00786E0C" w:rsidRDefault="00786E0C" w:rsidP="00A73CD5">
            <w:pPr>
              <w:jc w:val="right"/>
              <w:rPr>
                <w:rFonts w:eastAsia="Calibri"/>
                <w:sz w:val="22"/>
                <w:szCs w:val="22"/>
              </w:rPr>
            </w:pPr>
            <w:r w:rsidRPr="00786E0C">
              <w:rPr>
                <w:rFonts w:eastAsia="Calibri"/>
                <w:sz w:val="22"/>
                <w:szCs w:val="22"/>
              </w:rPr>
              <w:t>4,390</w:t>
            </w:r>
          </w:p>
        </w:tc>
      </w:tr>
      <w:tr w:rsidR="00D33B75" w:rsidRPr="00786E0C" w:rsidTr="00D33B75">
        <w:tc>
          <w:tcPr>
            <w:tcW w:w="2700" w:type="dxa"/>
          </w:tcPr>
          <w:p w:rsidR="00D33B75" w:rsidRPr="00786E0C" w:rsidRDefault="00D33B75" w:rsidP="00D33B75">
            <w:pPr>
              <w:jc w:val="both"/>
              <w:rPr>
                <w:rFonts w:eastAsia="Calibri"/>
                <w:sz w:val="22"/>
                <w:szCs w:val="22"/>
              </w:rPr>
            </w:pPr>
            <w:r w:rsidRPr="00786E0C">
              <w:rPr>
                <w:rFonts w:eastAsia="Calibri"/>
                <w:sz w:val="22"/>
                <w:szCs w:val="22"/>
              </w:rPr>
              <w:t>Current liabilities</w:t>
            </w:r>
          </w:p>
          <w:p w:rsidR="003F4772" w:rsidRPr="00786E0C" w:rsidRDefault="003F4772" w:rsidP="00D33B75">
            <w:pPr>
              <w:jc w:val="both"/>
              <w:rPr>
                <w:rFonts w:eastAsia="Calibri"/>
                <w:sz w:val="22"/>
                <w:szCs w:val="22"/>
              </w:rPr>
            </w:pPr>
            <w:r w:rsidRPr="00786E0C">
              <w:rPr>
                <w:rFonts w:eastAsia="Calibri"/>
                <w:sz w:val="22"/>
                <w:szCs w:val="22"/>
              </w:rPr>
              <w:t>Non-current liabilities</w:t>
            </w:r>
          </w:p>
        </w:tc>
        <w:tc>
          <w:tcPr>
            <w:tcW w:w="1080" w:type="dxa"/>
          </w:tcPr>
          <w:p w:rsidR="00D33B75" w:rsidRPr="00786E0C" w:rsidRDefault="00D33B75" w:rsidP="00D33B75">
            <w:pPr>
              <w:jc w:val="both"/>
              <w:rPr>
                <w:rFonts w:eastAsia="Calibri"/>
                <w:sz w:val="22"/>
                <w:szCs w:val="22"/>
              </w:rPr>
            </w:pPr>
          </w:p>
        </w:tc>
        <w:tc>
          <w:tcPr>
            <w:tcW w:w="1080" w:type="dxa"/>
          </w:tcPr>
          <w:p w:rsidR="00D33B75" w:rsidRPr="00786E0C" w:rsidRDefault="00470629" w:rsidP="009543B3">
            <w:pPr>
              <w:jc w:val="right"/>
              <w:rPr>
                <w:rFonts w:eastAsia="Calibri"/>
                <w:sz w:val="22"/>
                <w:szCs w:val="22"/>
              </w:rPr>
            </w:pPr>
            <w:r w:rsidRPr="00786E0C">
              <w:rPr>
                <w:rFonts w:eastAsia="Calibri"/>
                <w:sz w:val="22"/>
                <w:szCs w:val="22"/>
              </w:rPr>
              <w:t xml:space="preserve">  </w:t>
            </w:r>
            <w:r w:rsidR="00D33B75" w:rsidRPr="00786E0C">
              <w:rPr>
                <w:rFonts w:eastAsia="Calibri"/>
                <w:sz w:val="22"/>
                <w:szCs w:val="22"/>
              </w:rPr>
              <w:t>(</w:t>
            </w:r>
            <w:r w:rsidRPr="00786E0C">
              <w:rPr>
                <w:rFonts w:eastAsia="Calibri"/>
                <w:sz w:val="22"/>
                <w:szCs w:val="22"/>
              </w:rPr>
              <w:t>1</w:t>
            </w:r>
            <w:r w:rsidR="009543B3" w:rsidRPr="00786E0C">
              <w:rPr>
                <w:rFonts w:eastAsia="Calibri"/>
                <w:sz w:val="22"/>
                <w:szCs w:val="22"/>
              </w:rPr>
              <w:t>6</w:t>
            </w:r>
            <w:r w:rsidR="00D33B75" w:rsidRPr="00786E0C">
              <w:rPr>
                <w:rFonts w:eastAsia="Calibri"/>
                <w:sz w:val="22"/>
                <w:szCs w:val="22"/>
              </w:rPr>
              <w:t>,</w:t>
            </w:r>
            <w:r w:rsidR="00786E0C" w:rsidRPr="00786E0C">
              <w:rPr>
                <w:rFonts w:eastAsia="Calibri"/>
                <w:sz w:val="22"/>
                <w:szCs w:val="22"/>
              </w:rPr>
              <w:t>798</w:t>
            </w:r>
            <w:r w:rsidR="00D33B75" w:rsidRPr="00786E0C">
              <w:rPr>
                <w:rFonts w:eastAsia="Calibri"/>
                <w:sz w:val="22"/>
                <w:szCs w:val="22"/>
              </w:rPr>
              <w:t>)</w:t>
            </w:r>
          </w:p>
          <w:p w:rsidR="003F4772" w:rsidRPr="00786E0C" w:rsidRDefault="00786E0C" w:rsidP="00786E0C">
            <w:pPr>
              <w:jc w:val="right"/>
              <w:rPr>
                <w:rFonts w:eastAsia="Calibri"/>
                <w:sz w:val="22"/>
                <w:szCs w:val="22"/>
              </w:rPr>
            </w:pPr>
            <w:r w:rsidRPr="00786E0C">
              <w:rPr>
                <w:rFonts w:eastAsia="Calibri"/>
                <w:sz w:val="22"/>
                <w:szCs w:val="22"/>
              </w:rPr>
              <w:t>(1,690</w:t>
            </w:r>
            <w:r w:rsidR="003F4772" w:rsidRPr="00786E0C">
              <w:rPr>
                <w:rFonts w:eastAsia="Calibri"/>
                <w:sz w:val="22"/>
                <w:szCs w:val="22"/>
              </w:rPr>
              <w:t>)</w:t>
            </w:r>
          </w:p>
        </w:tc>
      </w:tr>
      <w:tr w:rsidR="00D33B75" w:rsidRPr="00D33B75" w:rsidTr="00D33B75">
        <w:tc>
          <w:tcPr>
            <w:tcW w:w="2700" w:type="dxa"/>
          </w:tcPr>
          <w:p w:rsidR="00D33B75" w:rsidRPr="00786E0C" w:rsidRDefault="00D33B75" w:rsidP="00D33B75">
            <w:pPr>
              <w:jc w:val="both"/>
              <w:rPr>
                <w:rFonts w:eastAsia="Calibri"/>
                <w:sz w:val="22"/>
                <w:szCs w:val="22"/>
              </w:rPr>
            </w:pPr>
          </w:p>
        </w:tc>
        <w:tc>
          <w:tcPr>
            <w:tcW w:w="1080" w:type="dxa"/>
          </w:tcPr>
          <w:p w:rsidR="00D33B75" w:rsidRPr="00786E0C" w:rsidRDefault="00D33B75" w:rsidP="00D33B75">
            <w:pPr>
              <w:jc w:val="both"/>
              <w:rPr>
                <w:rFonts w:eastAsia="Calibri"/>
                <w:sz w:val="22"/>
                <w:szCs w:val="22"/>
              </w:rPr>
            </w:pPr>
          </w:p>
        </w:tc>
        <w:tc>
          <w:tcPr>
            <w:tcW w:w="1080" w:type="dxa"/>
            <w:tcBorders>
              <w:top w:val="single" w:sz="4" w:space="0" w:color="auto"/>
              <w:bottom w:val="double" w:sz="4" w:space="0" w:color="auto"/>
            </w:tcBorders>
          </w:tcPr>
          <w:p w:rsidR="00D33B75" w:rsidRPr="00786E0C" w:rsidRDefault="00470629" w:rsidP="00A73CD5">
            <w:pPr>
              <w:jc w:val="right"/>
              <w:rPr>
                <w:rFonts w:eastAsia="Calibri"/>
                <w:sz w:val="22"/>
                <w:szCs w:val="22"/>
              </w:rPr>
            </w:pPr>
            <w:r w:rsidRPr="00786E0C">
              <w:rPr>
                <w:rFonts w:eastAsia="Calibri"/>
                <w:sz w:val="22"/>
                <w:szCs w:val="22"/>
              </w:rPr>
              <w:t>(</w:t>
            </w:r>
            <w:r w:rsidR="003F4772" w:rsidRPr="00786E0C">
              <w:rPr>
                <w:rFonts w:eastAsia="Calibri"/>
                <w:sz w:val="22"/>
                <w:szCs w:val="22"/>
              </w:rPr>
              <w:t>3</w:t>
            </w:r>
            <w:r w:rsidR="00D33B75" w:rsidRPr="00786E0C">
              <w:rPr>
                <w:rFonts w:eastAsia="Calibri"/>
                <w:sz w:val="22"/>
                <w:szCs w:val="22"/>
              </w:rPr>
              <w:t>,</w:t>
            </w:r>
            <w:r w:rsidR="00786E0C" w:rsidRPr="00786E0C">
              <w:rPr>
                <w:rFonts w:eastAsia="Calibri"/>
                <w:sz w:val="22"/>
                <w:szCs w:val="22"/>
              </w:rPr>
              <w:t>963</w:t>
            </w:r>
            <w:r w:rsidRPr="00786E0C">
              <w:rPr>
                <w:rFonts w:eastAsia="Calibri"/>
                <w:sz w:val="22"/>
                <w:szCs w:val="22"/>
              </w:rPr>
              <w:t>)</w:t>
            </w:r>
          </w:p>
        </w:tc>
      </w:tr>
    </w:tbl>
    <w:p w:rsidR="00D33B75" w:rsidRDefault="00D33B75" w:rsidP="00D33B75">
      <w:pPr>
        <w:ind w:left="720"/>
        <w:jc w:val="both"/>
        <w:rPr>
          <w:sz w:val="22"/>
          <w:szCs w:val="22"/>
        </w:rPr>
      </w:pPr>
    </w:p>
    <w:p w:rsidR="00D33B75" w:rsidRDefault="00D33B75" w:rsidP="00D33B75">
      <w:pPr>
        <w:ind w:left="720"/>
        <w:jc w:val="both"/>
        <w:rPr>
          <w:sz w:val="22"/>
          <w:szCs w:val="22"/>
        </w:rPr>
      </w:pPr>
    </w:p>
    <w:p w:rsidR="00D33B75" w:rsidRPr="00533668" w:rsidRDefault="00D33B75" w:rsidP="00D33B75">
      <w:pPr>
        <w:ind w:left="720"/>
        <w:jc w:val="both"/>
        <w:rPr>
          <w:sz w:val="22"/>
          <w:szCs w:val="22"/>
        </w:rPr>
      </w:pPr>
    </w:p>
    <w:p w:rsidR="00D33B75" w:rsidRPr="00533668" w:rsidRDefault="00D33B75" w:rsidP="00D33B75">
      <w:pPr>
        <w:ind w:left="720"/>
        <w:jc w:val="both"/>
        <w:rPr>
          <w:sz w:val="22"/>
          <w:szCs w:val="22"/>
        </w:rPr>
      </w:pPr>
      <w:r w:rsidRPr="00533668">
        <w:rPr>
          <w:sz w:val="22"/>
          <w:szCs w:val="22"/>
        </w:rPr>
        <w:t>The details of net assets acquired, goodwill and cash flow arising from the acquisitions of the subsidiar</w:t>
      </w:r>
      <w:r>
        <w:rPr>
          <w:sz w:val="22"/>
          <w:szCs w:val="22"/>
        </w:rPr>
        <w:t>y</w:t>
      </w:r>
      <w:r w:rsidRPr="00533668">
        <w:rPr>
          <w:sz w:val="22"/>
          <w:szCs w:val="22"/>
        </w:rPr>
        <w:t xml:space="preserve"> are as follows:-</w:t>
      </w:r>
    </w:p>
    <w:p w:rsidR="00D33B75" w:rsidRPr="00533668" w:rsidRDefault="00D33B75" w:rsidP="00D33B75">
      <w:pPr>
        <w:ind w:left="720"/>
        <w:jc w:val="both"/>
        <w:rPr>
          <w:sz w:val="22"/>
          <w:szCs w:val="22"/>
        </w:rPr>
      </w:pPr>
    </w:p>
    <w:tbl>
      <w:tblPr>
        <w:tblW w:w="0" w:type="auto"/>
        <w:tblInd w:w="828" w:type="dxa"/>
        <w:tblLook w:val="01E0"/>
      </w:tblPr>
      <w:tblGrid>
        <w:gridCol w:w="4230"/>
        <w:gridCol w:w="540"/>
        <w:gridCol w:w="1080"/>
      </w:tblGrid>
      <w:tr w:rsidR="00D33B75" w:rsidRPr="00D33B75" w:rsidTr="00D33B75">
        <w:tc>
          <w:tcPr>
            <w:tcW w:w="4230" w:type="dxa"/>
          </w:tcPr>
          <w:p w:rsidR="00D33B75" w:rsidRPr="00D33B75" w:rsidRDefault="00D33B75" w:rsidP="00D33B75">
            <w:pPr>
              <w:jc w:val="both"/>
              <w:rPr>
                <w:rFonts w:eastAsia="Calibri"/>
                <w:sz w:val="22"/>
                <w:szCs w:val="22"/>
              </w:rPr>
            </w:pPr>
          </w:p>
        </w:tc>
        <w:tc>
          <w:tcPr>
            <w:tcW w:w="540" w:type="dxa"/>
          </w:tcPr>
          <w:p w:rsidR="00D33B75" w:rsidRPr="00D33B75" w:rsidRDefault="00D33B75" w:rsidP="00D33B75">
            <w:pPr>
              <w:jc w:val="both"/>
              <w:rPr>
                <w:rFonts w:eastAsia="Calibri"/>
                <w:sz w:val="22"/>
                <w:szCs w:val="22"/>
              </w:rPr>
            </w:pPr>
          </w:p>
        </w:tc>
        <w:tc>
          <w:tcPr>
            <w:tcW w:w="1080" w:type="dxa"/>
          </w:tcPr>
          <w:p w:rsidR="00D33B75" w:rsidRPr="00D33B75" w:rsidRDefault="00D33B75" w:rsidP="00D33B75">
            <w:pPr>
              <w:jc w:val="right"/>
              <w:rPr>
                <w:rFonts w:eastAsia="Calibri"/>
                <w:sz w:val="22"/>
                <w:szCs w:val="22"/>
              </w:rPr>
            </w:pPr>
            <w:r w:rsidRPr="00D33B75">
              <w:rPr>
                <w:rFonts w:eastAsia="Calibri"/>
                <w:sz w:val="22"/>
                <w:szCs w:val="22"/>
              </w:rPr>
              <w:t>RM’000</w:t>
            </w:r>
          </w:p>
        </w:tc>
      </w:tr>
      <w:tr w:rsidR="00D33B75" w:rsidRPr="00D33B75" w:rsidTr="00D33B75">
        <w:tc>
          <w:tcPr>
            <w:tcW w:w="4230" w:type="dxa"/>
          </w:tcPr>
          <w:p w:rsidR="00D33B75" w:rsidRPr="00D33B75" w:rsidRDefault="00D33B75" w:rsidP="00D33B75">
            <w:pPr>
              <w:jc w:val="both"/>
              <w:rPr>
                <w:rFonts w:eastAsia="Calibri"/>
                <w:sz w:val="22"/>
                <w:szCs w:val="22"/>
              </w:rPr>
            </w:pPr>
            <w:r w:rsidRPr="00D33B75">
              <w:rPr>
                <w:rFonts w:eastAsia="Calibri"/>
                <w:sz w:val="22"/>
                <w:szCs w:val="22"/>
              </w:rPr>
              <w:t>Non-current assets</w:t>
            </w:r>
          </w:p>
        </w:tc>
        <w:tc>
          <w:tcPr>
            <w:tcW w:w="540" w:type="dxa"/>
          </w:tcPr>
          <w:p w:rsidR="00D33B75" w:rsidRPr="00D33B75" w:rsidRDefault="00D33B75" w:rsidP="00D33B75">
            <w:pPr>
              <w:jc w:val="both"/>
              <w:rPr>
                <w:rFonts w:eastAsia="Calibri"/>
                <w:sz w:val="22"/>
                <w:szCs w:val="22"/>
              </w:rPr>
            </w:pPr>
          </w:p>
        </w:tc>
        <w:tc>
          <w:tcPr>
            <w:tcW w:w="1080" w:type="dxa"/>
          </w:tcPr>
          <w:p w:rsidR="00D33B75" w:rsidRPr="00D33B75" w:rsidRDefault="00D33B75" w:rsidP="00470629">
            <w:pPr>
              <w:jc w:val="right"/>
              <w:rPr>
                <w:rFonts w:eastAsia="Calibri"/>
                <w:sz w:val="22"/>
                <w:szCs w:val="22"/>
              </w:rPr>
            </w:pPr>
            <w:r w:rsidRPr="00D33B75">
              <w:rPr>
                <w:rFonts w:eastAsia="Calibri"/>
                <w:sz w:val="22"/>
                <w:szCs w:val="22"/>
              </w:rPr>
              <w:t>1</w:t>
            </w:r>
            <w:r w:rsidR="00470629">
              <w:rPr>
                <w:rFonts w:eastAsia="Calibri"/>
                <w:sz w:val="22"/>
                <w:szCs w:val="22"/>
              </w:rPr>
              <w:t>5</w:t>
            </w:r>
            <w:r w:rsidRPr="00D33B75">
              <w:rPr>
                <w:rFonts w:eastAsia="Calibri"/>
                <w:sz w:val="22"/>
                <w:szCs w:val="22"/>
              </w:rPr>
              <w:t>,</w:t>
            </w:r>
            <w:r w:rsidR="00470629">
              <w:rPr>
                <w:rFonts w:eastAsia="Calibri"/>
                <w:sz w:val="22"/>
                <w:szCs w:val="22"/>
              </w:rPr>
              <w:t>265</w:t>
            </w:r>
          </w:p>
        </w:tc>
      </w:tr>
      <w:tr w:rsidR="00D33B75" w:rsidRPr="00D33B75" w:rsidTr="00D33B75">
        <w:tc>
          <w:tcPr>
            <w:tcW w:w="4230" w:type="dxa"/>
          </w:tcPr>
          <w:p w:rsidR="00D33B75" w:rsidRPr="00D33B75" w:rsidRDefault="00D33B75" w:rsidP="00D33B75">
            <w:pPr>
              <w:jc w:val="both"/>
              <w:rPr>
                <w:rFonts w:eastAsia="Calibri"/>
                <w:sz w:val="22"/>
                <w:szCs w:val="22"/>
              </w:rPr>
            </w:pPr>
            <w:r w:rsidRPr="00D33B75">
              <w:rPr>
                <w:rFonts w:eastAsia="Calibri"/>
                <w:sz w:val="22"/>
                <w:szCs w:val="22"/>
              </w:rPr>
              <w:t>Current assets</w:t>
            </w:r>
          </w:p>
        </w:tc>
        <w:tc>
          <w:tcPr>
            <w:tcW w:w="540" w:type="dxa"/>
          </w:tcPr>
          <w:p w:rsidR="00D33B75" w:rsidRPr="00D33B75" w:rsidRDefault="00D33B75" w:rsidP="00D33B75">
            <w:pPr>
              <w:jc w:val="both"/>
              <w:rPr>
                <w:rFonts w:eastAsia="Calibri"/>
                <w:sz w:val="22"/>
                <w:szCs w:val="22"/>
              </w:rPr>
            </w:pPr>
          </w:p>
        </w:tc>
        <w:tc>
          <w:tcPr>
            <w:tcW w:w="1080" w:type="dxa"/>
          </w:tcPr>
          <w:p w:rsidR="00D33B75" w:rsidRPr="00D33B75" w:rsidRDefault="00470629" w:rsidP="00470629">
            <w:pPr>
              <w:jc w:val="right"/>
              <w:rPr>
                <w:rFonts w:eastAsia="Calibri"/>
                <w:sz w:val="22"/>
                <w:szCs w:val="22"/>
              </w:rPr>
            </w:pPr>
            <w:r>
              <w:rPr>
                <w:rFonts w:eastAsia="Calibri"/>
                <w:sz w:val="22"/>
                <w:szCs w:val="22"/>
              </w:rPr>
              <w:t>2</w:t>
            </w:r>
            <w:r w:rsidR="00D33B75" w:rsidRPr="00D33B75">
              <w:rPr>
                <w:rFonts w:eastAsia="Calibri"/>
                <w:sz w:val="22"/>
                <w:szCs w:val="22"/>
              </w:rPr>
              <w:t>,</w:t>
            </w:r>
            <w:r>
              <w:rPr>
                <w:rFonts w:eastAsia="Calibri"/>
                <w:sz w:val="22"/>
                <w:szCs w:val="22"/>
              </w:rPr>
              <w:t>564</w:t>
            </w:r>
          </w:p>
        </w:tc>
      </w:tr>
      <w:tr w:rsidR="00D33B75" w:rsidRPr="00D33B75" w:rsidTr="00D33B75">
        <w:tc>
          <w:tcPr>
            <w:tcW w:w="4230" w:type="dxa"/>
          </w:tcPr>
          <w:p w:rsidR="00D33B75" w:rsidRPr="00D33B75" w:rsidRDefault="00D33B75" w:rsidP="00D33B75">
            <w:pPr>
              <w:jc w:val="both"/>
              <w:rPr>
                <w:rFonts w:eastAsia="Calibri"/>
                <w:sz w:val="22"/>
                <w:szCs w:val="22"/>
              </w:rPr>
            </w:pPr>
            <w:r w:rsidRPr="00D33B75">
              <w:rPr>
                <w:rFonts w:eastAsia="Calibri"/>
                <w:sz w:val="22"/>
                <w:szCs w:val="22"/>
              </w:rPr>
              <w:t>Current liabilities</w:t>
            </w:r>
          </w:p>
        </w:tc>
        <w:tc>
          <w:tcPr>
            <w:tcW w:w="540" w:type="dxa"/>
          </w:tcPr>
          <w:p w:rsidR="00D33B75" w:rsidRPr="00D33B75" w:rsidRDefault="00D33B75" w:rsidP="00D33B75">
            <w:pPr>
              <w:jc w:val="both"/>
              <w:rPr>
                <w:rFonts w:eastAsia="Calibri"/>
                <w:sz w:val="22"/>
                <w:szCs w:val="22"/>
              </w:rPr>
            </w:pPr>
          </w:p>
        </w:tc>
        <w:tc>
          <w:tcPr>
            <w:tcW w:w="1080" w:type="dxa"/>
          </w:tcPr>
          <w:p w:rsidR="00D33B75" w:rsidRPr="00D33B75" w:rsidRDefault="00D33B75" w:rsidP="00192B9F">
            <w:pPr>
              <w:jc w:val="right"/>
              <w:rPr>
                <w:rFonts w:eastAsia="Calibri"/>
                <w:sz w:val="22"/>
                <w:szCs w:val="22"/>
              </w:rPr>
            </w:pPr>
            <w:r w:rsidRPr="00D33B75">
              <w:rPr>
                <w:rFonts w:eastAsia="Calibri"/>
                <w:sz w:val="22"/>
                <w:szCs w:val="22"/>
              </w:rPr>
              <w:t>(</w:t>
            </w:r>
            <w:r w:rsidR="00470629">
              <w:rPr>
                <w:rFonts w:eastAsia="Calibri"/>
                <w:sz w:val="22"/>
                <w:szCs w:val="22"/>
              </w:rPr>
              <w:t>24</w:t>
            </w:r>
            <w:r w:rsidRPr="00D33B75">
              <w:rPr>
                <w:rFonts w:eastAsia="Calibri"/>
                <w:sz w:val="22"/>
                <w:szCs w:val="22"/>
              </w:rPr>
              <w:t>,</w:t>
            </w:r>
            <w:r w:rsidR="00470629">
              <w:rPr>
                <w:rFonts w:eastAsia="Calibri"/>
                <w:sz w:val="22"/>
                <w:szCs w:val="22"/>
              </w:rPr>
              <w:t>12</w:t>
            </w:r>
            <w:r w:rsidR="00192B9F">
              <w:rPr>
                <w:rFonts w:eastAsia="Calibri"/>
                <w:sz w:val="22"/>
                <w:szCs w:val="22"/>
              </w:rPr>
              <w:t>0</w:t>
            </w:r>
            <w:r w:rsidRPr="00D33B75">
              <w:rPr>
                <w:rFonts w:eastAsia="Calibri"/>
                <w:sz w:val="22"/>
                <w:szCs w:val="22"/>
              </w:rPr>
              <w:t>)</w:t>
            </w:r>
          </w:p>
        </w:tc>
      </w:tr>
      <w:tr w:rsidR="00470629" w:rsidRPr="00D33B75" w:rsidTr="00D33B75">
        <w:tc>
          <w:tcPr>
            <w:tcW w:w="4230" w:type="dxa"/>
          </w:tcPr>
          <w:p w:rsidR="00D33B75" w:rsidRPr="00D33B75" w:rsidRDefault="00D33B75" w:rsidP="00D33B75">
            <w:pPr>
              <w:jc w:val="both"/>
              <w:rPr>
                <w:rFonts w:eastAsia="Calibri"/>
                <w:sz w:val="22"/>
                <w:szCs w:val="22"/>
              </w:rPr>
            </w:pPr>
          </w:p>
        </w:tc>
        <w:tc>
          <w:tcPr>
            <w:tcW w:w="540" w:type="dxa"/>
          </w:tcPr>
          <w:p w:rsidR="00D33B75" w:rsidRPr="00D33B75" w:rsidRDefault="00D33B75" w:rsidP="00D33B75">
            <w:pPr>
              <w:jc w:val="both"/>
              <w:rPr>
                <w:rFonts w:eastAsia="Calibri"/>
                <w:sz w:val="22"/>
                <w:szCs w:val="22"/>
              </w:rPr>
            </w:pPr>
          </w:p>
        </w:tc>
        <w:tc>
          <w:tcPr>
            <w:tcW w:w="1080" w:type="dxa"/>
            <w:tcBorders>
              <w:top w:val="single" w:sz="4" w:space="0" w:color="auto"/>
            </w:tcBorders>
          </w:tcPr>
          <w:p w:rsidR="00D33B75" w:rsidRPr="00192B9F" w:rsidRDefault="00470629" w:rsidP="00192B9F">
            <w:pPr>
              <w:jc w:val="right"/>
              <w:rPr>
                <w:rFonts w:eastAsia="Calibri"/>
                <w:sz w:val="22"/>
                <w:szCs w:val="22"/>
                <w:highlight w:val="yellow"/>
              </w:rPr>
            </w:pPr>
            <w:r w:rsidRPr="008F3F02">
              <w:rPr>
                <w:rFonts w:eastAsia="Calibri"/>
                <w:sz w:val="22"/>
                <w:szCs w:val="22"/>
              </w:rPr>
              <w:t>(6</w:t>
            </w:r>
            <w:r w:rsidR="00D33B75" w:rsidRPr="008F3F02">
              <w:rPr>
                <w:rFonts w:eastAsia="Calibri"/>
                <w:sz w:val="22"/>
                <w:szCs w:val="22"/>
              </w:rPr>
              <w:t>,</w:t>
            </w:r>
            <w:r w:rsidRPr="008F3F02">
              <w:rPr>
                <w:rFonts w:eastAsia="Calibri"/>
                <w:sz w:val="22"/>
                <w:szCs w:val="22"/>
              </w:rPr>
              <w:t>29</w:t>
            </w:r>
            <w:r w:rsidR="00192B9F" w:rsidRPr="008F3F02">
              <w:rPr>
                <w:rFonts w:eastAsia="Calibri"/>
                <w:sz w:val="22"/>
                <w:szCs w:val="22"/>
              </w:rPr>
              <w:t>1)</w:t>
            </w:r>
          </w:p>
        </w:tc>
      </w:tr>
      <w:tr w:rsidR="00D33B75" w:rsidRPr="00D33B75" w:rsidTr="00D33B75">
        <w:tc>
          <w:tcPr>
            <w:tcW w:w="4230" w:type="dxa"/>
          </w:tcPr>
          <w:p w:rsidR="00D33B75" w:rsidRPr="00D33B75" w:rsidRDefault="00D33B75" w:rsidP="00D33B75">
            <w:pPr>
              <w:jc w:val="both"/>
              <w:rPr>
                <w:rFonts w:eastAsia="Calibri"/>
                <w:sz w:val="22"/>
                <w:szCs w:val="22"/>
              </w:rPr>
            </w:pPr>
          </w:p>
        </w:tc>
        <w:tc>
          <w:tcPr>
            <w:tcW w:w="540" w:type="dxa"/>
          </w:tcPr>
          <w:p w:rsidR="00D33B75" w:rsidRPr="00D33B75" w:rsidRDefault="00D33B75" w:rsidP="00D33B75">
            <w:pPr>
              <w:jc w:val="both"/>
              <w:rPr>
                <w:rFonts w:eastAsia="Calibri"/>
                <w:sz w:val="22"/>
                <w:szCs w:val="22"/>
              </w:rPr>
            </w:pPr>
          </w:p>
        </w:tc>
        <w:tc>
          <w:tcPr>
            <w:tcW w:w="1080" w:type="dxa"/>
          </w:tcPr>
          <w:p w:rsidR="00D33B75" w:rsidRPr="00D33B75" w:rsidRDefault="00D33B75" w:rsidP="00D33B75">
            <w:pPr>
              <w:jc w:val="right"/>
              <w:rPr>
                <w:rFonts w:eastAsia="Calibri"/>
                <w:sz w:val="22"/>
                <w:szCs w:val="22"/>
              </w:rPr>
            </w:pPr>
          </w:p>
        </w:tc>
      </w:tr>
      <w:tr w:rsidR="00D33B75" w:rsidRPr="00D33B75" w:rsidTr="00D33B75">
        <w:tc>
          <w:tcPr>
            <w:tcW w:w="4230" w:type="dxa"/>
          </w:tcPr>
          <w:p w:rsidR="00D33B75" w:rsidRPr="00D33B75" w:rsidRDefault="00D33B75" w:rsidP="00D33B75">
            <w:pPr>
              <w:jc w:val="both"/>
              <w:rPr>
                <w:rFonts w:eastAsia="Calibri"/>
                <w:sz w:val="22"/>
                <w:szCs w:val="22"/>
              </w:rPr>
            </w:pPr>
            <w:r w:rsidRPr="00D33B75">
              <w:rPr>
                <w:rFonts w:eastAsia="Calibri"/>
                <w:sz w:val="22"/>
                <w:szCs w:val="22"/>
              </w:rPr>
              <w:t xml:space="preserve"> Goodwill</w:t>
            </w:r>
          </w:p>
        </w:tc>
        <w:tc>
          <w:tcPr>
            <w:tcW w:w="540" w:type="dxa"/>
          </w:tcPr>
          <w:p w:rsidR="00D33B75" w:rsidRPr="00D33B75" w:rsidRDefault="00D33B75" w:rsidP="00D33B75">
            <w:pPr>
              <w:jc w:val="both"/>
              <w:rPr>
                <w:rFonts w:eastAsia="Calibri"/>
                <w:sz w:val="22"/>
                <w:szCs w:val="22"/>
              </w:rPr>
            </w:pPr>
          </w:p>
        </w:tc>
        <w:tc>
          <w:tcPr>
            <w:tcW w:w="1080" w:type="dxa"/>
          </w:tcPr>
          <w:p w:rsidR="00D33B75" w:rsidRPr="00D33B75" w:rsidRDefault="00470629" w:rsidP="00470629">
            <w:pPr>
              <w:jc w:val="right"/>
              <w:rPr>
                <w:rFonts w:eastAsia="Calibri"/>
                <w:sz w:val="22"/>
                <w:szCs w:val="22"/>
              </w:rPr>
            </w:pPr>
            <w:r>
              <w:rPr>
                <w:rFonts w:eastAsia="Calibri"/>
                <w:sz w:val="22"/>
                <w:szCs w:val="22"/>
              </w:rPr>
              <w:t>6</w:t>
            </w:r>
            <w:r w:rsidR="00D33B75" w:rsidRPr="00D33B75">
              <w:rPr>
                <w:rFonts w:eastAsia="Calibri"/>
                <w:sz w:val="22"/>
                <w:szCs w:val="22"/>
              </w:rPr>
              <w:t>,4</w:t>
            </w:r>
            <w:r>
              <w:rPr>
                <w:rFonts w:eastAsia="Calibri"/>
                <w:sz w:val="22"/>
                <w:szCs w:val="22"/>
              </w:rPr>
              <w:t>21</w:t>
            </w:r>
          </w:p>
        </w:tc>
      </w:tr>
      <w:tr w:rsidR="00470629" w:rsidRPr="00D33B75" w:rsidTr="00D33B75">
        <w:tc>
          <w:tcPr>
            <w:tcW w:w="4230" w:type="dxa"/>
          </w:tcPr>
          <w:p w:rsidR="00D33B75" w:rsidRPr="00D33B75" w:rsidRDefault="00D33B75" w:rsidP="00D33B75">
            <w:pPr>
              <w:jc w:val="both"/>
              <w:rPr>
                <w:rFonts w:eastAsia="Calibri"/>
                <w:sz w:val="22"/>
                <w:szCs w:val="22"/>
              </w:rPr>
            </w:pPr>
          </w:p>
        </w:tc>
        <w:tc>
          <w:tcPr>
            <w:tcW w:w="540" w:type="dxa"/>
          </w:tcPr>
          <w:p w:rsidR="00D33B75" w:rsidRPr="00D33B75" w:rsidRDefault="00D33B75" w:rsidP="00D33B75">
            <w:pPr>
              <w:jc w:val="both"/>
              <w:rPr>
                <w:rFonts w:eastAsia="Calibri"/>
                <w:sz w:val="22"/>
                <w:szCs w:val="22"/>
              </w:rPr>
            </w:pPr>
          </w:p>
        </w:tc>
        <w:tc>
          <w:tcPr>
            <w:tcW w:w="1080" w:type="dxa"/>
            <w:tcBorders>
              <w:bottom w:val="single" w:sz="4" w:space="0" w:color="auto"/>
            </w:tcBorders>
          </w:tcPr>
          <w:p w:rsidR="00D33B75" w:rsidRPr="00D33B75" w:rsidRDefault="00D33B75" w:rsidP="00D33B75">
            <w:pPr>
              <w:jc w:val="right"/>
              <w:rPr>
                <w:rFonts w:eastAsia="Calibri"/>
                <w:sz w:val="22"/>
                <w:szCs w:val="22"/>
              </w:rPr>
            </w:pPr>
          </w:p>
        </w:tc>
      </w:tr>
      <w:tr w:rsidR="00470629" w:rsidRPr="00D33B75" w:rsidTr="00D33B75">
        <w:tc>
          <w:tcPr>
            <w:tcW w:w="4230" w:type="dxa"/>
          </w:tcPr>
          <w:p w:rsidR="00D33B75" w:rsidRPr="00D33B75" w:rsidRDefault="00D33B75" w:rsidP="00D33B75">
            <w:pPr>
              <w:jc w:val="both"/>
              <w:rPr>
                <w:rFonts w:eastAsia="Calibri"/>
                <w:sz w:val="22"/>
                <w:szCs w:val="22"/>
              </w:rPr>
            </w:pPr>
            <w:r w:rsidRPr="00D33B75">
              <w:rPr>
                <w:rFonts w:eastAsia="Calibri"/>
                <w:sz w:val="22"/>
                <w:szCs w:val="22"/>
              </w:rPr>
              <w:t>Total acquisition costs</w:t>
            </w:r>
          </w:p>
        </w:tc>
        <w:tc>
          <w:tcPr>
            <w:tcW w:w="540" w:type="dxa"/>
          </w:tcPr>
          <w:p w:rsidR="00D33B75" w:rsidRPr="00D33B75" w:rsidRDefault="00D33B75" w:rsidP="00D33B75">
            <w:pPr>
              <w:jc w:val="both"/>
              <w:rPr>
                <w:rFonts w:eastAsia="Calibri"/>
                <w:sz w:val="22"/>
                <w:szCs w:val="22"/>
              </w:rPr>
            </w:pPr>
          </w:p>
        </w:tc>
        <w:tc>
          <w:tcPr>
            <w:tcW w:w="1080" w:type="dxa"/>
            <w:tcBorders>
              <w:top w:val="single" w:sz="4" w:space="0" w:color="auto"/>
            </w:tcBorders>
          </w:tcPr>
          <w:p w:rsidR="00D33B75" w:rsidRPr="00D33B75" w:rsidRDefault="00192B9F" w:rsidP="00192B9F">
            <w:pPr>
              <w:jc w:val="right"/>
              <w:rPr>
                <w:rFonts w:eastAsia="Calibri"/>
                <w:sz w:val="22"/>
                <w:szCs w:val="22"/>
              </w:rPr>
            </w:pPr>
            <w:r>
              <w:rPr>
                <w:rFonts w:eastAsia="Calibri"/>
                <w:sz w:val="22"/>
                <w:szCs w:val="22"/>
              </w:rPr>
              <w:t>130</w:t>
            </w:r>
          </w:p>
        </w:tc>
      </w:tr>
      <w:tr w:rsidR="00D33B75" w:rsidRPr="00D33B75" w:rsidTr="00D33B75">
        <w:tc>
          <w:tcPr>
            <w:tcW w:w="4230" w:type="dxa"/>
          </w:tcPr>
          <w:p w:rsidR="00D33B75" w:rsidRPr="00D33B75" w:rsidRDefault="00D33B75" w:rsidP="00D33B75">
            <w:pPr>
              <w:jc w:val="both"/>
              <w:rPr>
                <w:rFonts w:eastAsia="Calibri"/>
                <w:sz w:val="22"/>
                <w:szCs w:val="22"/>
              </w:rPr>
            </w:pPr>
          </w:p>
        </w:tc>
        <w:tc>
          <w:tcPr>
            <w:tcW w:w="540" w:type="dxa"/>
          </w:tcPr>
          <w:p w:rsidR="00D33B75" w:rsidRPr="00D33B75" w:rsidRDefault="00D33B75" w:rsidP="00D33B75">
            <w:pPr>
              <w:jc w:val="both"/>
              <w:rPr>
                <w:rFonts w:eastAsia="Calibri"/>
                <w:sz w:val="22"/>
                <w:szCs w:val="22"/>
              </w:rPr>
            </w:pPr>
          </w:p>
        </w:tc>
        <w:tc>
          <w:tcPr>
            <w:tcW w:w="1080" w:type="dxa"/>
          </w:tcPr>
          <w:p w:rsidR="00D33B75" w:rsidRPr="00D33B75" w:rsidRDefault="00D33B75" w:rsidP="00D33B75">
            <w:pPr>
              <w:jc w:val="right"/>
              <w:rPr>
                <w:rFonts w:eastAsia="Calibri"/>
                <w:sz w:val="22"/>
                <w:szCs w:val="22"/>
              </w:rPr>
            </w:pPr>
          </w:p>
        </w:tc>
      </w:tr>
      <w:tr w:rsidR="00D33B75" w:rsidRPr="00D33B75" w:rsidTr="00D33B75">
        <w:tc>
          <w:tcPr>
            <w:tcW w:w="4230" w:type="dxa"/>
          </w:tcPr>
          <w:p w:rsidR="00D33B75" w:rsidRPr="00D33B75" w:rsidRDefault="008F3F02" w:rsidP="008F3F02">
            <w:pPr>
              <w:jc w:val="both"/>
              <w:rPr>
                <w:rFonts w:eastAsia="Calibri"/>
                <w:sz w:val="22"/>
                <w:szCs w:val="22"/>
              </w:rPr>
            </w:pPr>
            <w:r>
              <w:rPr>
                <w:rFonts w:eastAsia="Calibri"/>
                <w:sz w:val="22"/>
                <w:szCs w:val="22"/>
              </w:rPr>
              <w:t>Less</w:t>
            </w:r>
            <w:r w:rsidR="00D33B75" w:rsidRPr="00D33B75">
              <w:rPr>
                <w:rFonts w:eastAsia="Calibri"/>
                <w:sz w:val="22"/>
                <w:szCs w:val="22"/>
              </w:rPr>
              <w:t>: Cash and cash equivalents</w:t>
            </w:r>
          </w:p>
        </w:tc>
        <w:tc>
          <w:tcPr>
            <w:tcW w:w="540" w:type="dxa"/>
          </w:tcPr>
          <w:p w:rsidR="00D33B75" w:rsidRPr="00D33B75" w:rsidRDefault="00D33B75" w:rsidP="00D33B75">
            <w:pPr>
              <w:jc w:val="both"/>
              <w:rPr>
                <w:rFonts w:eastAsia="Calibri"/>
                <w:sz w:val="22"/>
                <w:szCs w:val="22"/>
              </w:rPr>
            </w:pPr>
          </w:p>
        </w:tc>
        <w:tc>
          <w:tcPr>
            <w:tcW w:w="1080" w:type="dxa"/>
          </w:tcPr>
          <w:p w:rsidR="00D33B75" w:rsidRPr="00D33B75" w:rsidRDefault="00192B9F" w:rsidP="00192B9F">
            <w:pPr>
              <w:jc w:val="right"/>
              <w:rPr>
                <w:rFonts w:eastAsia="Calibri"/>
                <w:sz w:val="22"/>
                <w:szCs w:val="22"/>
              </w:rPr>
            </w:pPr>
            <w:r>
              <w:rPr>
                <w:rFonts w:eastAsia="Calibri"/>
                <w:sz w:val="22"/>
                <w:szCs w:val="22"/>
              </w:rPr>
              <w:t>33</w:t>
            </w:r>
          </w:p>
        </w:tc>
      </w:tr>
      <w:tr w:rsidR="00470629" w:rsidRPr="00D33B75" w:rsidTr="00D33B75">
        <w:tc>
          <w:tcPr>
            <w:tcW w:w="4230" w:type="dxa"/>
          </w:tcPr>
          <w:p w:rsidR="00D33B75" w:rsidRPr="00D33B75" w:rsidRDefault="00D33B75" w:rsidP="00D33B75">
            <w:pPr>
              <w:jc w:val="both"/>
              <w:rPr>
                <w:rFonts w:eastAsia="Calibri"/>
                <w:sz w:val="22"/>
                <w:szCs w:val="22"/>
              </w:rPr>
            </w:pPr>
          </w:p>
        </w:tc>
        <w:tc>
          <w:tcPr>
            <w:tcW w:w="540" w:type="dxa"/>
          </w:tcPr>
          <w:p w:rsidR="00D33B75" w:rsidRPr="00D33B75" w:rsidRDefault="00D33B75" w:rsidP="00D33B75">
            <w:pPr>
              <w:jc w:val="both"/>
              <w:rPr>
                <w:rFonts w:eastAsia="Calibri"/>
                <w:sz w:val="22"/>
                <w:szCs w:val="22"/>
              </w:rPr>
            </w:pPr>
          </w:p>
        </w:tc>
        <w:tc>
          <w:tcPr>
            <w:tcW w:w="1080" w:type="dxa"/>
            <w:tcBorders>
              <w:top w:val="single" w:sz="4" w:space="0" w:color="auto"/>
              <w:bottom w:val="double" w:sz="4" w:space="0" w:color="auto"/>
            </w:tcBorders>
          </w:tcPr>
          <w:p w:rsidR="00D33B75" w:rsidRPr="00D33B75" w:rsidRDefault="008F3F02" w:rsidP="008F3F02">
            <w:pPr>
              <w:jc w:val="right"/>
              <w:rPr>
                <w:rFonts w:eastAsia="Calibri"/>
                <w:sz w:val="22"/>
                <w:szCs w:val="22"/>
              </w:rPr>
            </w:pPr>
            <w:r>
              <w:rPr>
                <w:rFonts w:eastAsia="Calibri"/>
                <w:sz w:val="22"/>
                <w:szCs w:val="22"/>
              </w:rPr>
              <w:t>97</w:t>
            </w:r>
          </w:p>
        </w:tc>
      </w:tr>
    </w:tbl>
    <w:p w:rsidR="00B6352D" w:rsidRPr="00533668" w:rsidRDefault="00B6352D" w:rsidP="00B6352D">
      <w:pPr>
        <w:ind w:left="720"/>
        <w:jc w:val="both"/>
        <w:rPr>
          <w:sz w:val="22"/>
          <w:szCs w:val="22"/>
        </w:rPr>
      </w:pPr>
    </w:p>
    <w:p w:rsidR="00B6352D" w:rsidRDefault="00B6352D" w:rsidP="00B6352D">
      <w:pPr>
        <w:ind w:left="720"/>
        <w:jc w:val="both"/>
        <w:rPr>
          <w:sz w:val="22"/>
          <w:szCs w:val="22"/>
        </w:rPr>
      </w:pPr>
    </w:p>
    <w:p w:rsidR="00BB5D76" w:rsidRDefault="00BB5D76" w:rsidP="00B6352D">
      <w:pPr>
        <w:ind w:left="720"/>
        <w:jc w:val="both"/>
        <w:rPr>
          <w:sz w:val="22"/>
          <w:szCs w:val="22"/>
        </w:rPr>
      </w:pPr>
    </w:p>
    <w:p w:rsidR="00BB5D76" w:rsidRDefault="00BB5D76" w:rsidP="00B6352D">
      <w:pPr>
        <w:ind w:left="720"/>
        <w:jc w:val="both"/>
        <w:rPr>
          <w:sz w:val="22"/>
          <w:szCs w:val="22"/>
        </w:rPr>
      </w:pPr>
    </w:p>
    <w:p w:rsidR="00BB5D76" w:rsidRDefault="00BB5D76" w:rsidP="00B6352D">
      <w:pPr>
        <w:ind w:left="720"/>
        <w:jc w:val="both"/>
        <w:rPr>
          <w:sz w:val="22"/>
          <w:szCs w:val="22"/>
        </w:rPr>
      </w:pPr>
    </w:p>
    <w:p w:rsidR="00BB5D76" w:rsidRDefault="00BB5D76" w:rsidP="00B6352D">
      <w:pPr>
        <w:ind w:left="720"/>
        <w:jc w:val="both"/>
        <w:rPr>
          <w:sz w:val="22"/>
          <w:szCs w:val="22"/>
        </w:rPr>
      </w:pPr>
    </w:p>
    <w:p w:rsidR="00BB5D76" w:rsidRDefault="00BB5D76" w:rsidP="00B6352D">
      <w:pPr>
        <w:ind w:left="720"/>
        <w:jc w:val="both"/>
        <w:rPr>
          <w:sz w:val="22"/>
          <w:szCs w:val="22"/>
        </w:rPr>
      </w:pPr>
    </w:p>
    <w:p w:rsidR="00BB5D76" w:rsidRDefault="00BB5D76" w:rsidP="00B6352D">
      <w:pPr>
        <w:ind w:left="720"/>
        <w:jc w:val="both"/>
        <w:rPr>
          <w:sz w:val="22"/>
          <w:szCs w:val="22"/>
        </w:rPr>
      </w:pPr>
    </w:p>
    <w:p w:rsidR="00190E10" w:rsidRPr="00533668" w:rsidRDefault="00190E10">
      <w:pPr>
        <w:pStyle w:val="Heading1"/>
        <w:tabs>
          <w:tab w:val="left" w:pos="720"/>
        </w:tabs>
        <w:rPr>
          <w:szCs w:val="22"/>
        </w:rPr>
      </w:pPr>
      <w:r w:rsidRPr="00533668">
        <w:rPr>
          <w:szCs w:val="22"/>
        </w:rPr>
        <w:lastRenderedPageBreak/>
        <w:t xml:space="preserve">A13. </w:t>
      </w:r>
      <w:r w:rsidRPr="00533668">
        <w:rPr>
          <w:szCs w:val="22"/>
        </w:rPr>
        <w:tab/>
        <w:t>Changes In Contingent Liabilities</w:t>
      </w:r>
    </w:p>
    <w:p w:rsidR="00190E10" w:rsidRPr="00533668" w:rsidRDefault="00190E10">
      <w:pPr>
        <w:tabs>
          <w:tab w:val="left" w:pos="360"/>
        </w:tabs>
        <w:jc w:val="both"/>
        <w:rPr>
          <w:b/>
          <w:sz w:val="22"/>
          <w:szCs w:val="22"/>
        </w:rPr>
      </w:pPr>
    </w:p>
    <w:p w:rsidR="00190E10" w:rsidRPr="00533668" w:rsidRDefault="00190E10">
      <w:pPr>
        <w:tabs>
          <w:tab w:val="left" w:pos="360"/>
        </w:tabs>
        <w:ind w:left="720" w:hanging="360"/>
        <w:jc w:val="both"/>
        <w:rPr>
          <w:bCs/>
          <w:sz w:val="22"/>
          <w:szCs w:val="22"/>
        </w:rPr>
      </w:pPr>
      <w:r w:rsidRPr="00533668">
        <w:rPr>
          <w:b/>
          <w:sz w:val="22"/>
          <w:szCs w:val="22"/>
        </w:rPr>
        <w:tab/>
      </w:r>
      <w:r w:rsidRPr="00533668">
        <w:rPr>
          <w:bCs/>
          <w:sz w:val="22"/>
          <w:szCs w:val="22"/>
        </w:rPr>
        <w:t>Changes in material contingent liabilities of the Group and Company since 31 December  20</w:t>
      </w:r>
      <w:r w:rsidR="000D7550">
        <w:rPr>
          <w:bCs/>
          <w:sz w:val="22"/>
          <w:szCs w:val="22"/>
        </w:rPr>
        <w:t>1</w:t>
      </w:r>
      <w:r w:rsidR="00A3583C">
        <w:rPr>
          <w:bCs/>
          <w:sz w:val="22"/>
          <w:szCs w:val="22"/>
        </w:rPr>
        <w:t>3</w:t>
      </w:r>
      <w:r w:rsidRPr="00533668">
        <w:rPr>
          <w:bCs/>
          <w:sz w:val="22"/>
          <w:szCs w:val="22"/>
        </w:rPr>
        <w:t xml:space="preserve"> were as follows :  </w:t>
      </w:r>
    </w:p>
    <w:p w:rsidR="00190E10" w:rsidRPr="00533668" w:rsidRDefault="00190E10">
      <w:pPr>
        <w:tabs>
          <w:tab w:val="left" w:pos="360"/>
        </w:tabs>
        <w:ind w:left="360" w:hanging="360"/>
        <w:jc w:val="both"/>
        <w:rPr>
          <w:bCs/>
          <w:sz w:val="22"/>
          <w:szCs w:val="22"/>
        </w:rPr>
      </w:pPr>
    </w:p>
    <w:tbl>
      <w:tblPr>
        <w:tblW w:w="0" w:type="auto"/>
        <w:tblInd w:w="828" w:type="dxa"/>
        <w:tblLook w:val="0000"/>
      </w:tblPr>
      <w:tblGrid>
        <w:gridCol w:w="2250"/>
        <w:gridCol w:w="1440"/>
        <w:gridCol w:w="1440"/>
        <w:gridCol w:w="1440"/>
        <w:gridCol w:w="1487"/>
      </w:tblGrid>
      <w:tr w:rsidR="00190E10" w:rsidRPr="00533668">
        <w:tblPrEx>
          <w:tblCellMar>
            <w:top w:w="0" w:type="dxa"/>
            <w:bottom w:w="0" w:type="dxa"/>
          </w:tblCellMar>
        </w:tblPrEx>
        <w:trPr>
          <w:cantSplit/>
        </w:trPr>
        <w:tc>
          <w:tcPr>
            <w:tcW w:w="2250" w:type="dxa"/>
          </w:tcPr>
          <w:p w:rsidR="00190E10" w:rsidRPr="00533668" w:rsidRDefault="00190E10">
            <w:pPr>
              <w:tabs>
                <w:tab w:val="left" w:pos="360"/>
              </w:tabs>
              <w:jc w:val="both"/>
              <w:rPr>
                <w:bCs/>
                <w:sz w:val="22"/>
                <w:szCs w:val="22"/>
              </w:rPr>
            </w:pPr>
          </w:p>
        </w:tc>
        <w:tc>
          <w:tcPr>
            <w:tcW w:w="2880" w:type="dxa"/>
            <w:gridSpan w:val="2"/>
          </w:tcPr>
          <w:p w:rsidR="00190E10" w:rsidRPr="00533668" w:rsidRDefault="00190E10">
            <w:pPr>
              <w:tabs>
                <w:tab w:val="left" w:pos="360"/>
              </w:tabs>
              <w:jc w:val="center"/>
              <w:rPr>
                <w:bCs/>
                <w:sz w:val="22"/>
                <w:szCs w:val="22"/>
              </w:rPr>
            </w:pPr>
            <w:r w:rsidRPr="00533668">
              <w:rPr>
                <w:bCs/>
                <w:sz w:val="22"/>
                <w:szCs w:val="22"/>
              </w:rPr>
              <w:t>Group</w:t>
            </w:r>
          </w:p>
        </w:tc>
        <w:tc>
          <w:tcPr>
            <w:tcW w:w="2927" w:type="dxa"/>
            <w:gridSpan w:val="2"/>
          </w:tcPr>
          <w:p w:rsidR="00190E10" w:rsidRPr="00533668" w:rsidRDefault="00190E10">
            <w:pPr>
              <w:tabs>
                <w:tab w:val="left" w:pos="360"/>
              </w:tabs>
              <w:jc w:val="center"/>
              <w:rPr>
                <w:bCs/>
                <w:sz w:val="22"/>
                <w:szCs w:val="22"/>
              </w:rPr>
            </w:pPr>
            <w:r w:rsidRPr="00533668">
              <w:rPr>
                <w:bCs/>
                <w:sz w:val="22"/>
                <w:szCs w:val="22"/>
              </w:rPr>
              <w:t>Company</w:t>
            </w:r>
          </w:p>
        </w:tc>
      </w:tr>
      <w:tr w:rsidR="0098545E" w:rsidRPr="00533668">
        <w:tblPrEx>
          <w:tblCellMar>
            <w:top w:w="0" w:type="dxa"/>
            <w:bottom w:w="0" w:type="dxa"/>
          </w:tblCellMar>
        </w:tblPrEx>
        <w:tc>
          <w:tcPr>
            <w:tcW w:w="2250" w:type="dxa"/>
          </w:tcPr>
          <w:p w:rsidR="00190E10" w:rsidRPr="00533668" w:rsidRDefault="00190E10">
            <w:pPr>
              <w:tabs>
                <w:tab w:val="left" w:pos="360"/>
              </w:tabs>
              <w:jc w:val="both"/>
              <w:rPr>
                <w:bCs/>
                <w:sz w:val="22"/>
                <w:szCs w:val="22"/>
              </w:rPr>
            </w:pPr>
          </w:p>
        </w:tc>
        <w:tc>
          <w:tcPr>
            <w:tcW w:w="1440" w:type="dxa"/>
          </w:tcPr>
          <w:p w:rsidR="00190E10" w:rsidRPr="00533668" w:rsidRDefault="0098545E" w:rsidP="00786E0C">
            <w:pPr>
              <w:tabs>
                <w:tab w:val="left" w:pos="360"/>
              </w:tabs>
              <w:jc w:val="center"/>
              <w:rPr>
                <w:bCs/>
                <w:sz w:val="22"/>
                <w:szCs w:val="22"/>
              </w:rPr>
            </w:pPr>
            <w:r>
              <w:rPr>
                <w:sz w:val="22"/>
                <w:szCs w:val="22"/>
              </w:rPr>
              <w:t>3</w:t>
            </w:r>
            <w:r w:rsidR="00A65607">
              <w:rPr>
                <w:sz w:val="22"/>
                <w:szCs w:val="22"/>
              </w:rPr>
              <w:t>0</w:t>
            </w:r>
            <w:r w:rsidR="0037068C">
              <w:rPr>
                <w:sz w:val="22"/>
                <w:szCs w:val="22"/>
              </w:rPr>
              <w:t>.</w:t>
            </w:r>
            <w:r w:rsidR="00A3583C">
              <w:rPr>
                <w:sz w:val="22"/>
                <w:szCs w:val="22"/>
              </w:rPr>
              <w:t>0</w:t>
            </w:r>
            <w:r w:rsidR="00786E0C">
              <w:rPr>
                <w:sz w:val="22"/>
                <w:szCs w:val="22"/>
              </w:rPr>
              <w:t>9</w:t>
            </w:r>
            <w:r w:rsidR="00EC7CBE">
              <w:rPr>
                <w:sz w:val="22"/>
                <w:szCs w:val="22"/>
              </w:rPr>
              <w:t>.</w:t>
            </w:r>
            <w:r>
              <w:rPr>
                <w:sz w:val="22"/>
                <w:szCs w:val="22"/>
              </w:rPr>
              <w:t>20</w:t>
            </w:r>
            <w:r w:rsidR="00CB26EE">
              <w:rPr>
                <w:sz w:val="22"/>
                <w:szCs w:val="22"/>
              </w:rPr>
              <w:t>1</w:t>
            </w:r>
            <w:r w:rsidR="00A3583C">
              <w:rPr>
                <w:sz w:val="22"/>
                <w:szCs w:val="22"/>
              </w:rPr>
              <w:t>4</w:t>
            </w:r>
          </w:p>
        </w:tc>
        <w:tc>
          <w:tcPr>
            <w:tcW w:w="1440" w:type="dxa"/>
          </w:tcPr>
          <w:p w:rsidR="00190E10" w:rsidRPr="00533668" w:rsidRDefault="0098545E" w:rsidP="00786E0C">
            <w:pPr>
              <w:tabs>
                <w:tab w:val="left" w:pos="360"/>
              </w:tabs>
              <w:jc w:val="center"/>
              <w:rPr>
                <w:bCs/>
                <w:sz w:val="22"/>
                <w:szCs w:val="22"/>
              </w:rPr>
            </w:pPr>
            <w:r>
              <w:rPr>
                <w:sz w:val="22"/>
                <w:szCs w:val="22"/>
              </w:rPr>
              <w:t>3</w:t>
            </w:r>
            <w:r w:rsidR="00A65607">
              <w:rPr>
                <w:sz w:val="22"/>
                <w:szCs w:val="22"/>
              </w:rPr>
              <w:t>0</w:t>
            </w:r>
            <w:r w:rsidR="00D70FC3">
              <w:rPr>
                <w:sz w:val="22"/>
                <w:szCs w:val="22"/>
              </w:rPr>
              <w:t>.</w:t>
            </w:r>
            <w:r w:rsidR="00A3583C">
              <w:rPr>
                <w:sz w:val="22"/>
                <w:szCs w:val="22"/>
              </w:rPr>
              <w:t>0</w:t>
            </w:r>
            <w:r w:rsidR="00786E0C">
              <w:rPr>
                <w:sz w:val="22"/>
                <w:szCs w:val="22"/>
              </w:rPr>
              <w:t>9</w:t>
            </w:r>
            <w:r w:rsidR="000D7550">
              <w:rPr>
                <w:sz w:val="22"/>
                <w:szCs w:val="22"/>
              </w:rPr>
              <w:t>.201</w:t>
            </w:r>
            <w:r w:rsidR="00A3583C">
              <w:rPr>
                <w:sz w:val="22"/>
                <w:szCs w:val="22"/>
              </w:rPr>
              <w:t>3</w:t>
            </w:r>
          </w:p>
        </w:tc>
        <w:tc>
          <w:tcPr>
            <w:tcW w:w="1440" w:type="dxa"/>
          </w:tcPr>
          <w:p w:rsidR="0098545E" w:rsidRPr="00533668" w:rsidRDefault="0098545E" w:rsidP="00786E0C">
            <w:pPr>
              <w:tabs>
                <w:tab w:val="left" w:pos="360"/>
              </w:tabs>
              <w:rPr>
                <w:bCs/>
                <w:sz w:val="22"/>
                <w:szCs w:val="22"/>
                <w:highlight w:val="yellow"/>
              </w:rPr>
            </w:pPr>
            <w:r>
              <w:rPr>
                <w:sz w:val="22"/>
                <w:szCs w:val="22"/>
              </w:rPr>
              <w:t>3</w:t>
            </w:r>
            <w:r w:rsidR="00A65607">
              <w:rPr>
                <w:sz w:val="22"/>
                <w:szCs w:val="22"/>
              </w:rPr>
              <w:t>0</w:t>
            </w:r>
            <w:r w:rsidR="0051267B">
              <w:rPr>
                <w:sz w:val="22"/>
                <w:szCs w:val="22"/>
              </w:rPr>
              <w:t>.</w:t>
            </w:r>
            <w:r w:rsidR="00A3583C">
              <w:rPr>
                <w:sz w:val="22"/>
                <w:szCs w:val="22"/>
              </w:rPr>
              <w:t>0</w:t>
            </w:r>
            <w:r w:rsidR="00786E0C">
              <w:rPr>
                <w:sz w:val="22"/>
                <w:szCs w:val="22"/>
              </w:rPr>
              <w:t>9</w:t>
            </w:r>
            <w:r w:rsidR="00EC7CBE">
              <w:rPr>
                <w:sz w:val="22"/>
                <w:szCs w:val="22"/>
              </w:rPr>
              <w:t>.201</w:t>
            </w:r>
            <w:r w:rsidR="00A3583C">
              <w:rPr>
                <w:sz w:val="22"/>
                <w:szCs w:val="22"/>
              </w:rPr>
              <w:t>4</w:t>
            </w:r>
          </w:p>
        </w:tc>
        <w:tc>
          <w:tcPr>
            <w:tcW w:w="1487" w:type="dxa"/>
          </w:tcPr>
          <w:p w:rsidR="00190E10" w:rsidRPr="00533668" w:rsidRDefault="0098545E" w:rsidP="00786E0C">
            <w:pPr>
              <w:tabs>
                <w:tab w:val="left" w:pos="360"/>
              </w:tabs>
              <w:jc w:val="center"/>
              <w:rPr>
                <w:sz w:val="22"/>
                <w:szCs w:val="22"/>
              </w:rPr>
            </w:pPr>
            <w:r>
              <w:rPr>
                <w:sz w:val="22"/>
                <w:szCs w:val="22"/>
              </w:rPr>
              <w:t>3</w:t>
            </w:r>
            <w:r w:rsidR="00A65607">
              <w:rPr>
                <w:sz w:val="22"/>
                <w:szCs w:val="22"/>
              </w:rPr>
              <w:t>0</w:t>
            </w:r>
            <w:r w:rsidR="0051267B">
              <w:rPr>
                <w:sz w:val="22"/>
                <w:szCs w:val="22"/>
              </w:rPr>
              <w:t>.</w:t>
            </w:r>
            <w:r w:rsidR="00A3583C">
              <w:rPr>
                <w:sz w:val="22"/>
                <w:szCs w:val="22"/>
              </w:rPr>
              <w:t>0</w:t>
            </w:r>
            <w:r w:rsidR="00786E0C">
              <w:rPr>
                <w:sz w:val="22"/>
                <w:szCs w:val="22"/>
              </w:rPr>
              <w:t>9</w:t>
            </w:r>
            <w:r w:rsidR="000D7550">
              <w:rPr>
                <w:sz w:val="22"/>
                <w:szCs w:val="22"/>
              </w:rPr>
              <w:t>.201</w:t>
            </w:r>
            <w:r w:rsidR="00A3583C">
              <w:rPr>
                <w:sz w:val="22"/>
                <w:szCs w:val="22"/>
              </w:rPr>
              <w:t>3</w:t>
            </w:r>
          </w:p>
        </w:tc>
      </w:tr>
      <w:tr w:rsidR="0098545E" w:rsidRPr="00533668">
        <w:tblPrEx>
          <w:tblCellMar>
            <w:top w:w="0" w:type="dxa"/>
            <w:bottom w:w="0" w:type="dxa"/>
          </w:tblCellMar>
        </w:tblPrEx>
        <w:tc>
          <w:tcPr>
            <w:tcW w:w="2250" w:type="dxa"/>
          </w:tcPr>
          <w:p w:rsidR="00190E10" w:rsidRPr="00533668" w:rsidRDefault="00190E10">
            <w:pPr>
              <w:tabs>
                <w:tab w:val="left" w:pos="360"/>
              </w:tabs>
              <w:jc w:val="both"/>
              <w:rPr>
                <w:bCs/>
                <w:sz w:val="22"/>
                <w:szCs w:val="22"/>
              </w:rPr>
            </w:pPr>
          </w:p>
        </w:tc>
        <w:tc>
          <w:tcPr>
            <w:tcW w:w="1440" w:type="dxa"/>
          </w:tcPr>
          <w:p w:rsidR="00190E10" w:rsidRPr="00533668" w:rsidRDefault="00190E10">
            <w:pPr>
              <w:tabs>
                <w:tab w:val="left" w:pos="360"/>
              </w:tabs>
              <w:jc w:val="center"/>
              <w:rPr>
                <w:bCs/>
                <w:sz w:val="22"/>
                <w:szCs w:val="22"/>
              </w:rPr>
            </w:pPr>
            <w:r w:rsidRPr="00533668">
              <w:rPr>
                <w:bCs/>
                <w:sz w:val="22"/>
                <w:szCs w:val="22"/>
              </w:rPr>
              <w:t>RM’000</w:t>
            </w:r>
          </w:p>
        </w:tc>
        <w:tc>
          <w:tcPr>
            <w:tcW w:w="1440" w:type="dxa"/>
          </w:tcPr>
          <w:p w:rsidR="00190E10" w:rsidRPr="00533668" w:rsidRDefault="00190E10">
            <w:pPr>
              <w:tabs>
                <w:tab w:val="left" w:pos="360"/>
              </w:tabs>
              <w:jc w:val="center"/>
              <w:rPr>
                <w:bCs/>
                <w:sz w:val="22"/>
                <w:szCs w:val="22"/>
              </w:rPr>
            </w:pPr>
            <w:r w:rsidRPr="00533668">
              <w:rPr>
                <w:bCs/>
                <w:sz w:val="22"/>
                <w:szCs w:val="22"/>
              </w:rPr>
              <w:t>RM’000</w:t>
            </w:r>
          </w:p>
        </w:tc>
        <w:tc>
          <w:tcPr>
            <w:tcW w:w="1440" w:type="dxa"/>
          </w:tcPr>
          <w:p w:rsidR="00190E10" w:rsidRPr="00533668" w:rsidRDefault="00190E10">
            <w:pPr>
              <w:tabs>
                <w:tab w:val="left" w:pos="360"/>
              </w:tabs>
              <w:jc w:val="center"/>
              <w:rPr>
                <w:bCs/>
                <w:sz w:val="22"/>
                <w:szCs w:val="22"/>
              </w:rPr>
            </w:pPr>
            <w:r w:rsidRPr="00533668">
              <w:rPr>
                <w:bCs/>
                <w:sz w:val="22"/>
                <w:szCs w:val="22"/>
              </w:rPr>
              <w:t>RM’000</w:t>
            </w:r>
          </w:p>
        </w:tc>
        <w:tc>
          <w:tcPr>
            <w:tcW w:w="1487" w:type="dxa"/>
          </w:tcPr>
          <w:p w:rsidR="00190E10" w:rsidRPr="00533668" w:rsidRDefault="00190E10">
            <w:pPr>
              <w:tabs>
                <w:tab w:val="left" w:pos="360"/>
              </w:tabs>
              <w:jc w:val="center"/>
              <w:rPr>
                <w:bCs/>
                <w:sz w:val="22"/>
                <w:szCs w:val="22"/>
              </w:rPr>
            </w:pPr>
            <w:r w:rsidRPr="00533668">
              <w:rPr>
                <w:bCs/>
                <w:sz w:val="22"/>
                <w:szCs w:val="22"/>
              </w:rPr>
              <w:t>RM’000</w:t>
            </w:r>
          </w:p>
        </w:tc>
      </w:tr>
      <w:tr w:rsidR="0098545E" w:rsidRPr="00533668">
        <w:tblPrEx>
          <w:tblCellMar>
            <w:top w:w="0" w:type="dxa"/>
            <w:bottom w:w="0" w:type="dxa"/>
          </w:tblCellMar>
        </w:tblPrEx>
        <w:tc>
          <w:tcPr>
            <w:tcW w:w="2250" w:type="dxa"/>
          </w:tcPr>
          <w:p w:rsidR="00190E10" w:rsidRPr="00533668" w:rsidRDefault="00190E10">
            <w:pPr>
              <w:tabs>
                <w:tab w:val="left" w:pos="360"/>
              </w:tabs>
              <w:rPr>
                <w:bCs/>
                <w:sz w:val="22"/>
                <w:szCs w:val="22"/>
              </w:rPr>
            </w:pPr>
            <w:r w:rsidRPr="00533668">
              <w:rPr>
                <w:bCs/>
                <w:sz w:val="22"/>
                <w:szCs w:val="22"/>
              </w:rPr>
              <w:t>Guarantees granted by the Company to third parties for credit facilities extended to subsidiaries</w:t>
            </w:r>
          </w:p>
          <w:p w:rsidR="00190E10" w:rsidRPr="00533668" w:rsidRDefault="00190E10">
            <w:pPr>
              <w:tabs>
                <w:tab w:val="left" w:pos="360"/>
              </w:tabs>
              <w:rPr>
                <w:bCs/>
                <w:sz w:val="22"/>
                <w:szCs w:val="22"/>
              </w:rPr>
            </w:pPr>
          </w:p>
          <w:p w:rsidR="00190E10" w:rsidRPr="00533668" w:rsidRDefault="00190E10">
            <w:pPr>
              <w:tabs>
                <w:tab w:val="left" w:pos="360"/>
              </w:tabs>
              <w:rPr>
                <w:bCs/>
                <w:sz w:val="22"/>
                <w:szCs w:val="22"/>
              </w:rPr>
            </w:pPr>
            <w:r w:rsidRPr="00533668">
              <w:rPr>
                <w:bCs/>
                <w:sz w:val="22"/>
                <w:szCs w:val="22"/>
              </w:rPr>
              <w:t>Outstanding guarantees granted by the Company to third parties for credit facilities extended to subsidiaries</w:t>
            </w:r>
          </w:p>
        </w:tc>
        <w:tc>
          <w:tcPr>
            <w:tcW w:w="1440" w:type="dxa"/>
          </w:tcPr>
          <w:p w:rsidR="00190E10" w:rsidRPr="00533668" w:rsidRDefault="00190E10">
            <w:pPr>
              <w:tabs>
                <w:tab w:val="left" w:pos="360"/>
              </w:tabs>
              <w:jc w:val="center"/>
              <w:rPr>
                <w:bCs/>
                <w:sz w:val="22"/>
                <w:szCs w:val="22"/>
              </w:rPr>
            </w:pPr>
            <w:r w:rsidRPr="00533668">
              <w:rPr>
                <w:bCs/>
                <w:sz w:val="22"/>
                <w:szCs w:val="22"/>
              </w:rPr>
              <w:t>Nil</w:t>
            </w: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2714CC" w:rsidRDefault="002714CC">
            <w:pPr>
              <w:tabs>
                <w:tab w:val="left" w:pos="360"/>
              </w:tabs>
              <w:jc w:val="center"/>
              <w:rPr>
                <w:bCs/>
                <w:sz w:val="22"/>
                <w:szCs w:val="22"/>
              </w:rPr>
            </w:pPr>
          </w:p>
          <w:p w:rsidR="00190E10" w:rsidRPr="00533668" w:rsidRDefault="00190E10">
            <w:pPr>
              <w:tabs>
                <w:tab w:val="left" w:pos="360"/>
              </w:tabs>
              <w:jc w:val="center"/>
              <w:rPr>
                <w:bCs/>
                <w:sz w:val="22"/>
                <w:szCs w:val="22"/>
              </w:rPr>
            </w:pPr>
            <w:r w:rsidRPr="00533668">
              <w:rPr>
                <w:bCs/>
                <w:sz w:val="22"/>
                <w:szCs w:val="22"/>
              </w:rPr>
              <w:t>Nil</w:t>
            </w:r>
          </w:p>
        </w:tc>
        <w:tc>
          <w:tcPr>
            <w:tcW w:w="1440" w:type="dxa"/>
          </w:tcPr>
          <w:p w:rsidR="00190E10" w:rsidRPr="00533668" w:rsidRDefault="00190E10">
            <w:pPr>
              <w:tabs>
                <w:tab w:val="left" w:pos="360"/>
              </w:tabs>
              <w:jc w:val="center"/>
              <w:rPr>
                <w:bCs/>
                <w:sz w:val="22"/>
                <w:szCs w:val="22"/>
              </w:rPr>
            </w:pPr>
            <w:r w:rsidRPr="00533668">
              <w:rPr>
                <w:bCs/>
                <w:sz w:val="22"/>
                <w:szCs w:val="22"/>
              </w:rPr>
              <w:t>Nil</w:t>
            </w: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p>
          <w:p w:rsidR="00190E10" w:rsidRPr="00533668" w:rsidRDefault="00190E10">
            <w:pPr>
              <w:tabs>
                <w:tab w:val="left" w:pos="360"/>
              </w:tabs>
              <w:jc w:val="center"/>
              <w:rPr>
                <w:bCs/>
                <w:sz w:val="22"/>
                <w:szCs w:val="22"/>
              </w:rPr>
            </w:pPr>
            <w:r w:rsidRPr="00533668">
              <w:rPr>
                <w:bCs/>
                <w:sz w:val="22"/>
                <w:szCs w:val="22"/>
              </w:rPr>
              <w:t>Nil</w:t>
            </w:r>
            <w:r w:rsidR="00901F17">
              <w:rPr>
                <w:bCs/>
                <w:sz w:val="22"/>
                <w:szCs w:val="22"/>
              </w:rPr>
              <w:t xml:space="preserve">           </w:t>
            </w:r>
          </w:p>
          <w:p w:rsidR="00190E10" w:rsidRPr="00533668" w:rsidRDefault="00190E10">
            <w:pPr>
              <w:tabs>
                <w:tab w:val="left" w:pos="360"/>
              </w:tabs>
              <w:jc w:val="center"/>
              <w:rPr>
                <w:bCs/>
                <w:sz w:val="22"/>
                <w:szCs w:val="22"/>
              </w:rPr>
            </w:pPr>
          </w:p>
        </w:tc>
        <w:tc>
          <w:tcPr>
            <w:tcW w:w="1440" w:type="dxa"/>
          </w:tcPr>
          <w:p w:rsidR="00394881" w:rsidRDefault="002714CC" w:rsidP="00B655B6">
            <w:pPr>
              <w:tabs>
                <w:tab w:val="left" w:pos="360"/>
              </w:tabs>
              <w:jc w:val="center"/>
              <w:rPr>
                <w:bCs/>
                <w:sz w:val="22"/>
                <w:szCs w:val="22"/>
              </w:rPr>
            </w:pPr>
            <w:r>
              <w:rPr>
                <w:bCs/>
                <w:sz w:val="22"/>
                <w:szCs w:val="22"/>
              </w:rPr>
              <w:t>5</w:t>
            </w:r>
            <w:r w:rsidR="001120DE">
              <w:rPr>
                <w:bCs/>
                <w:sz w:val="22"/>
                <w:szCs w:val="22"/>
              </w:rPr>
              <w:t>22</w:t>
            </w:r>
            <w:r w:rsidR="00DB4FA2">
              <w:rPr>
                <w:bCs/>
                <w:sz w:val="22"/>
                <w:szCs w:val="22"/>
              </w:rPr>
              <w:t>,</w:t>
            </w:r>
            <w:r w:rsidR="001120DE">
              <w:rPr>
                <w:bCs/>
                <w:sz w:val="22"/>
                <w:szCs w:val="22"/>
              </w:rPr>
              <w:t>459</w:t>
            </w:r>
          </w:p>
          <w:p w:rsidR="00DB4FA2" w:rsidRDefault="00DB4FA2" w:rsidP="00B655B6">
            <w:pPr>
              <w:tabs>
                <w:tab w:val="left" w:pos="360"/>
              </w:tabs>
              <w:jc w:val="center"/>
              <w:rPr>
                <w:bCs/>
                <w:sz w:val="22"/>
                <w:szCs w:val="22"/>
              </w:rPr>
            </w:pPr>
          </w:p>
          <w:p w:rsidR="00394881" w:rsidRDefault="00394881" w:rsidP="00B655B6">
            <w:pPr>
              <w:tabs>
                <w:tab w:val="left" w:pos="360"/>
              </w:tabs>
              <w:jc w:val="center"/>
              <w:rPr>
                <w:bCs/>
                <w:sz w:val="22"/>
                <w:szCs w:val="22"/>
              </w:rPr>
            </w:pPr>
          </w:p>
          <w:p w:rsidR="002714CC" w:rsidRDefault="002714CC" w:rsidP="00B655B6">
            <w:pPr>
              <w:tabs>
                <w:tab w:val="left" w:pos="360"/>
              </w:tabs>
              <w:jc w:val="center"/>
              <w:rPr>
                <w:bCs/>
                <w:sz w:val="22"/>
                <w:szCs w:val="22"/>
              </w:rPr>
            </w:pPr>
          </w:p>
          <w:p w:rsidR="00394881" w:rsidRDefault="00394881" w:rsidP="00B655B6">
            <w:pPr>
              <w:tabs>
                <w:tab w:val="left" w:pos="360"/>
              </w:tabs>
              <w:jc w:val="center"/>
              <w:rPr>
                <w:bCs/>
                <w:sz w:val="22"/>
                <w:szCs w:val="22"/>
              </w:rPr>
            </w:pPr>
          </w:p>
          <w:p w:rsidR="00394881" w:rsidRDefault="00394881" w:rsidP="00B655B6">
            <w:pPr>
              <w:tabs>
                <w:tab w:val="left" w:pos="360"/>
              </w:tabs>
              <w:jc w:val="center"/>
              <w:rPr>
                <w:bCs/>
                <w:sz w:val="22"/>
                <w:szCs w:val="22"/>
              </w:rPr>
            </w:pPr>
          </w:p>
          <w:p w:rsidR="00DB4FA2" w:rsidRDefault="00DB4FA2" w:rsidP="00394881">
            <w:pPr>
              <w:tabs>
                <w:tab w:val="left" w:pos="360"/>
              </w:tabs>
              <w:jc w:val="center"/>
              <w:rPr>
                <w:bCs/>
                <w:sz w:val="22"/>
                <w:szCs w:val="22"/>
              </w:rPr>
            </w:pPr>
            <w:r>
              <w:rPr>
                <w:bCs/>
                <w:sz w:val="22"/>
                <w:szCs w:val="22"/>
              </w:rPr>
              <w:t>4</w:t>
            </w:r>
            <w:r w:rsidR="001120DE">
              <w:rPr>
                <w:bCs/>
                <w:sz w:val="22"/>
                <w:szCs w:val="22"/>
              </w:rPr>
              <w:t>59</w:t>
            </w:r>
            <w:r>
              <w:rPr>
                <w:bCs/>
                <w:sz w:val="22"/>
                <w:szCs w:val="22"/>
              </w:rPr>
              <w:t>,</w:t>
            </w:r>
            <w:r w:rsidR="001120DE">
              <w:rPr>
                <w:bCs/>
                <w:sz w:val="22"/>
                <w:szCs w:val="22"/>
              </w:rPr>
              <w:t>094</w:t>
            </w:r>
          </w:p>
          <w:p w:rsidR="00DB4FA2" w:rsidRDefault="00DB4FA2" w:rsidP="00394881">
            <w:pPr>
              <w:tabs>
                <w:tab w:val="left" w:pos="360"/>
              </w:tabs>
              <w:jc w:val="center"/>
              <w:rPr>
                <w:bCs/>
                <w:sz w:val="22"/>
                <w:szCs w:val="22"/>
              </w:rPr>
            </w:pPr>
          </w:p>
          <w:p w:rsidR="00DB4FA2" w:rsidRDefault="00DB4FA2" w:rsidP="00394881">
            <w:pPr>
              <w:tabs>
                <w:tab w:val="left" w:pos="360"/>
              </w:tabs>
              <w:jc w:val="center"/>
              <w:rPr>
                <w:bCs/>
                <w:sz w:val="22"/>
                <w:szCs w:val="22"/>
              </w:rPr>
            </w:pPr>
          </w:p>
          <w:p w:rsidR="00DB4FA2" w:rsidRPr="00533668" w:rsidRDefault="00DB4FA2" w:rsidP="00394881">
            <w:pPr>
              <w:tabs>
                <w:tab w:val="left" w:pos="360"/>
              </w:tabs>
              <w:jc w:val="center"/>
              <w:rPr>
                <w:bCs/>
                <w:sz w:val="22"/>
                <w:szCs w:val="22"/>
              </w:rPr>
            </w:pPr>
          </w:p>
        </w:tc>
        <w:tc>
          <w:tcPr>
            <w:tcW w:w="1487" w:type="dxa"/>
          </w:tcPr>
          <w:p w:rsidR="00011A12" w:rsidRPr="00B3785C" w:rsidRDefault="00B3785C" w:rsidP="00071397">
            <w:pPr>
              <w:tabs>
                <w:tab w:val="left" w:pos="360"/>
              </w:tabs>
              <w:jc w:val="center"/>
              <w:rPr>
                <w:bCs/>
                <w:sz w:val="22"/>
                <w:szCs w:val="22"/>
              </w:rPr>
            </w:pPr>
            <w:r w:rsidRPr="00B3785C">
              <w:rPr>
                <w:bCs/>
                <w:sz w:val="22"/>
                <w:szCs w:val="22"/>
              </w:rPr>
              <w:t>500</w:t>
            </w:r>
            <w:r w:rsidR="000023CE" w:rsidRPr="00B3785C">
              <w:rPr>
                <w:bCs/>
                <w:sz w:val="22"/>
                <w:szCs w:val="22"/>
              </w:rPr>
              <w:t>,</w:t>
            </w:r>
            <w:r w:rsidRPr="00B3785C">
              <w:rPr>
                <w:bCs/>
                <w:sz w:val="22"/>
                <w:szCs w:val="22"/>
              </w:rPr>
              <w:t>340</w:t>
            </w:r>
          </w:p>
          <w:p w:rsidR="00071397" w:rsidRPr="00B3785C" w:rsidRDefault="00071397" w:rsidP="00071397">
            <w:pPr>
              <w:tabs>
                <w:tab w:val="left" w:pos="360"/>
              </w:tabs>
              <w:jc w:val="center"/>
              <w:rPr>
                <w:bCs/>
                <w:sz w:val="22"/>
                <w:szCs w:val="22"/>
              </w:rPr>
            </w:pPr>
          </w:p>
          <w:p w:rsidR="00071397" w:rsidRPr="00B3785C" w:rsidRDefault="00071397" w:rsidP="00071397">
            <w:pPr>
              <w:tabs>
                <w:tab w:val="left" w:pos="360"/>
              </w:tabs>
              <w:jc w:val="center"/>
              <w:rPr>
                <w:bCs/>
                <w:sz w:val="22"/>
                <w:szCs w:val="22"/>
              </w:rPr>
            </w:pPr>
          </w:p>
          <w:p w:rsidR="00071397" w:rsidRPr="00B3785C" w:rsidRDefault="00071397" w:rsidP="00071397">
            <w:pPr>
              <w:tabs>
                <w:tab w:val="left" w:pos="360"/>
              </w:tabs>
              <w:jc w:val="center"/>
              <w:rPr>
                <w:bCs/>
                <w:sz w:val="22"/>
                <w:szCs w:val="22"/>
              </w:rPr>
            </w:pPr>
          </w:p>
          <w:p w:rsidR="00071397" w:rsidRPr="00B3785C" w:rsidRDefault="00071397" w:rsidP="00071397">
            <w:pPr>
              <w:tabs>
                <w:tab w:val="left" w:pos="360"/>
              </w:tabs>
              <w:jc w:val="center"/>
              <w:rPr>
                <w:bCs/>
                <w:sz w:val="22"/>
                <w:szCs w:val="22"/>
              </w:rPr>
            </w:pPr>
          </w:p>
          <w:p w:rsidR="00071397" w:rsidRPr="00B3785C" w:rsidRDefault="00071397" w:rsidP="00071397">
            <w:pPr>
              <w:tabs>
                <w:tab w:val="left" w:pos="360"/>
              </w:tabs>
              <w:jc w:val="center"/>
              <w:rPr>
                <w:bCs/>
                <w:sz w:val="22"/>
                <w:szCs w:val="22"/>
              </w:rPr>
            </w:pPr>
          </w:p>
          <w:p w:rsidR="00071397" w:rsidRPr="00533668" w:rsidRDefault="00A3583C" w:rsidP="00B3785C">
            <w:pPr>
              <w:tabs>
                <w:tab w:val="left" w:pos="360"/>
              </w:tabs>
              <w:jc w:val="center"/>
              <w:rPr>
                <w:bCs/>
                <w:sz w:val="22"/>
                <w:szCs w:val="22"/>
              </w:rPr>
            </w:pPr>
            <w:r w:rsidRPr="00B3785C">
              <w:rPr>
                <w:bCs/>
                <w:sz w:val="22"/>
                <w:szCs w:val="22"/>
              </w:rPr>
              <w:t>4</w:t>
            </w:r>
            <w:r w:rsidR="000023CE" w:rsidRPr="00B3785C">
              <w:rPr>
                <w:bCs/>
                <w:sz w:val="22"/>
                <w:szCs w:val="22"/>
              </w:rPr>
              <w:t>7</w:t>
            </w:r>
            <w:r w:rsidR="00B3785C" w:rsidRPr="00B3785C">
              <w:rPr>
                <w:bCs/>
                <w:sz w:val="22"/>
                <w:szCs w:val="22"/>
              </w:rPr>
              <w:t>5</w:t>
            </w:r>
            <w:r w:rsidR="000023CE" w:rsidRPr="00B3785C">
              <w:rPr>
                <w:bCs/>
                <w:sz w:val="22"/>
                <w:szCs w:val="22"/>
              </w:rPr>
              <w:t>,</w:t>
            </w:r>
            <w:r w:rsidR="00B3785C" w:rsidRPr="00B3785C">
              <w:rPr>
                <w:bCs/>
                <w:sz w:val="22"/>
                <w:szCs w:val="22"/>
              </w:rPr>
              <w:t>852</w:t>
            </w:r>
          </w:p>
        </w:tc>
      </w:tr>
    </w:tbl>
    <w:p w:rsidR="006113B4" w:rsidRDefault="006113B4">
      <w:pPr>
        <w:tabs>
          <w:tab w:val="left" w:pos="360"/>
        </w:tabs>
        <w:ind w:left="360" w:hanging="360"/>
        <w:jc w:val="both"/>
        <w:rPr>
          <w:bCs/>
          <w:sz w:val="22"/>
          <w:szCs w:val="22"/>
        </w:rPr>
      </w:pPr>
    </w:p>
    <w:p w:rsidR="00190E10" w:rsidRPr="00533668" w:rsidRDefault="00BC75AA">
      <w:pPr>
        <w:tabs>
          <w:tab w:val="left" w:pos="360"/>
        </w:tabs>
        <w:ind w:left="360" w:hanging="360"/>
        <w:jc w:val="both"/>
        <w:rPr>
          <w:b/>
          <w:i/>
          <w:iCs/>
          <w:sz w:val="22"/>
          <w:szCs w:val="22"/>
        </w:rPr>
      </w:pPr>
      <w:r>
        <w:rPr>
          <w:bCs/>
          <w:sz w:val="22"/>
          <w:szCs w:val="22"/>
        </w:rPr>
        <w:br w:type="page"/>
      </w:r>
      <w:r w:rsidR="00190E10" w:rsidRPr="00533668">
        <w:rPr>
          <w:b/>
          <w:i/>
          <w:iCs/>
          <w:sz w:val="22"/>
          <w:szCs w:val="22"/>
        </w:rPr>
        <w:lastRenderedPageBreak/>
        <w:t>B.</w:t>
      </w:r>
      <w:r w:rsidR="00190E10" w:rsidRPr="00533668">
        <w:rPr>
          <w:b/>
          <w:i/>
          <w:iCs/>
          <w:sz w:val="22"/>
          <w:szCs w:val="22"/>
        </w:rPr>
        <w:tab/>
        <w:t xml:space="preserve">Selected explanatory notes pursuant to Part A of Appendix 9B of the Listing Requirements of </w:t>
      </w:r>
      <w:smartTag w:uri="urn:schemas-microsoft-com:office:smarttags" w:element="City">
        <w:r w:rsidR="00190E10" w:rsidRPr="00533668">
          <w:rPr>
            <w:b/>
            <w:i/>
            <w:iCs/>
            <w:sz w:val="22"/>
            <w:szCs w:val="22"/>
          </w:rPr>
          <w:t>Bursa</w:t>
        </w:r>
      </w:smartTag>
      <w:r w:rsidR="00190E10" w:rsidRPr="00533668">
        <w:rPr>
          <w:b/>
          <w:i/>
          <w:iCs/>
          <w:sz w:val="22"/>
          <w:szCs w:val="22"/>
        </w:rPr>
        <w:t xml:space="preserve"> </w:t>
      </w:r>
      <w:smartTag w:uri="urn:schemas-microsoft-com:office:smarttags" w:element="place">
        <w:smartTag w:uri="urn:schemas-microsoft-com:office:smarttags" w:element="country-region">
          <w:r w:rsidR="00190E10" w:rsidRPr="00533668">
            <w:rPr>
              <w:b/>
              <w:i/>
              <w:iCs/>
              <w:sz w:val="22"/>
              <w:szCs w:val="22"/>
            </w:rPr>
            <w:t>Malaysia</w:t>
          </w:r>
        </w:smartTag>
      </w:smartTag>
      <w:r w:rsidR="00190E10" w:rsidRPr="00533668">
        <w:rPr>
          <w:b/>
          <w:i/>
          <w:iCs/>
          <w:sz w:val="22"/>
          <w:szCs w:val="22"/>
        </w:rPr>
        <w:t xml:space="preserve"> Securities Berhad.</w:t>
      </w:r>
    </w:p>
    <w:p w:rsidR="00190E10" w:rsidRPr="00533668" w:rsidRDefault="00190E10">
      <w:pPr>
        <w:tabs>
          <w:tab w:val="left" w:pos="720"/>
        </w:tabs>
        <w:ind w:left="360" w:hanging="360"/>
        <w:jc w:val="both"/>
        <w:rPr>
          <w:bCs/>
          <w:sz w:val="22"/>
          <w:szCs w:val="22"/>
        </w:rPr>
      </w:pPr>
    </w:p>
    <w:p w:rsidR="00BC75AA" w:rsidRDefault="00BC75AA">
      <w:pPr>
        <w:tabs>
          <w:tab w:val="left" w:pos="720"/>
        </w:tabs>
        <w:ind w:left="360" w:hanging="360"/>
        <w:jc w:val="both"/>
        <w:rPr>
          <w:bCs/>
          <w:sz w:val="22"/>
          <w:szCs w:val="22"/>
        </w:rPr>
      </w:pPr>
    </w:p>
    <w:p w:rsidR="002E44DB" w:rsidRPr="00533668" w:rsidRDefault="002E44DB">
      <w:pPr>
        <w:tabs>
          <w:tab w:val="left" w:pos="720"/>
        </w:tabs>
        <w:ind w:left="360" w:hanging="360"/>
        <w:jc w:val="both"/>
        <w:rPr>
          <w:bCs/>
          <w:sz w:val="22"/>
          <w:szCs w:val="22"/>
        </w:rPr>
      </w:pPr>
    </w:p>
    <w:p w:rsidR="00190E10" w:rsidRPr="005B53F2" w:rsidRDefault="00190E10">
      <w:pPr>
        <w:tabs>
          <w:tab w:val="left" w:pos="360"/>
        </w:tabs>
        <w:jc w:val="both"/>
        <w:rPr>
          <w:b/>
          <w:sz w:val="22"/>
          <w:szCs w:val="22"/>
          <w:highlight w:val="yellow"/>
        </w:rPr>
      </w:pPr>
      <w:r w:rsidRPr="00533668">
        <w:rPr>
          <w:b/>
          <w:sz w:val="22"/>
          <w:szCs w:val="22"/>
        </w:rPr>
        <w:t>B1.</w:t>
      </w:r>
      <w:r w:rsidRPr="00533668">
        <w:rPr>
          <w:b/>
          <w:sz w:val="22"/>
          <w:szCs w:val="22"/>
        </w:rPr>
        <w:tab/>
      </w:r>
      <w:r w:rsidRPr="00533668">
        <w:rPr>
          <w:b/>
          <w:sz w:val="22"/>
          <w:szCs w:val="22"/>
        </w:rPr>
        <w:tab/>
      </w:r>
      <w:r w:rsidR="00B64DA7" w:rsidRPr="00EF632C">
        <w:rPr>
          <w:b/>
          <w:sz w:val="22"/>
          <w:szCs w:val="22"/>
        </w:rPr>
        <w:t>Detailed Analysis Of The Performance Of All Operating Segments Of The Group</w:t>
      </w:r>
    </w:p>
    <w:p w:rsidR="002A2C4F" w:rsidRDefault="002A2C4F">
      <w:pPr>
        <w:pStyle w:val="BodyTextIndent"/>
        <w:ind w:left="720"/>
        <w:jc w:val="both"/>
      </w:pPr>
    </w:p>
    <w:p w:rsidR="00385F43" w:rsidRDefault="00385F43">
      <w:pPr>
        <w:pStyle w:val="BodyTextIndent"/>
        <w:ind w:left="720"/>
        <w:jc w:val="both"/>
      </w:pPr>
    </w:p>
    <w:p w:rsidR="00385F43" w:rsidRDefault="003E7B3C">
      <w:pPr>
        <w:pStyle w:val="BodyTextIndent"/>
        <w:ind w:left="720"/>
        <w:jc w:val="both"/>
      </w:pPr>
      <w:r w:rsidRPr="00C10F97">
        <w:object w:dxaOrig="6848" w:dyaOrig="2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183.75pt" o:ole="">
            <v:imagedata r:id="rId7" o:title=""/>
          </v:shape>
          <o:OLEObject Type="Embed" ProgID="Excel.Sheet.8" ShapeID="_x0000_i1025" DrawAspect="Content" ObjectID="_1477910045" r:id="rId8"/>
        </w:object>
      </w:r>
    </w:p>
    <w:p w:rsidR="00F25353" w:rsidRDefault="00F25353">
      <w:pPr>
        <w:pStyle w:val="BodyTextIndent"/>
        <w:ind w:left="720"/>
        <w:jc w:val="both"/>
        <w:rPr>
          <w:sz w:val="22"/>
          <w:szCs w:val="22"/>
        </w:rPr>
      </w:pPr>
    </w:p>
    <w:p w:rsidR="002A2C4F" w:rsidRPr="007A56BC" w:rsidRDefault="00ED0BC8">
      <w:pPr>
        <w:pStyle w:val="BodyTextIndent"/>
        <w:ind w:left="720"/>
        <w:jc w:val="both"/>
        <w:rPr>
          <w:sz w:val="22"/>
          <w:szCs w:val="22"/>
        </w:rPr>
      </w:pPr>
      <w:r w:rsidRPr="007A56BC">
        <w:rPr>
          <w:sz w:val="22"/>
          <w:szCs w:val="22"/>
        </w:rPr>
        <w:t>The Group’s turnover for the quarter ended 3</w:t>
      </w:r>
      <w:r w:rsidR="00A65607" w:rsidRPr="007A56BC">
        <w:rPr>
          <w:sz w:val="22"/>
          <w:szCs w:val="22"/>
        </w:rPr>
        <w:t>0</w:t>
      </w:r>
      <w:r w:rsidR="000E1B90" w:rsidRPr="007A56BC">
        <w:rPr>
          <w:sz w:val="22"/>
          <w:szCs w:val="22"/>
        </w:rPr>
        <w:t xml:space="preserve"> </w:t>
      </w:r>
      <w:r w:rsidR="00712842">
        <w:rPr>
          <w:sz w:val="22"/>
          <w:szCs w:val="22"/>
        </w:rPr>
        <w:t>September</w:t>
      </w:r>
      <w:r w:rsidR="00A3583C" w:rsidRPr="007A56BC">
        <w:rPr>
          <w:sz w:val="22"/>
          <w:szCs w:val="22"/>
        </w:rPr>
        <w:t xml:space="preserve"> 2014</w:t>
      </w:r>
      <w:r w:rsidRPr="007A56BC">
        <w:rPr>
          <w:sz w:val="22"/>
          <w:szCs w:val="22"/>
        </w:rPr>
        <w:t xml:space="preserve"> has </w:t>
      </w:r>
      <w:r w:rsidR="00024C61" w:rsidRPr="007A56BC">
        <w:rPr>
          <w:sz w:val="22"/>
          <w:szCs w:val="22"/>
        </w:rPr>
        <w:t>in</w:t>
      </w:r>
      <w:r w:rsidRPr="007A56BC">
        <w:rPr>
          <w:sz w:val="22"/>
          <w:szCs w:val="22"/>
        </w:rPr>
        <w:t xml:space="preserve">creased by </w:t>
      </w:r>
      <w:r w:rsidR="00712842">
        <w:rPr>
          <w:sz w:val="22"/>
          <w:szCs w:val="22"/>
        </w:rPr>
        <w:t>32</w:t>
      </w:r>
      <w:r w:rsidR="00F965DD" w:rsidRPr="007A56BC">
        <w:rPr>
          <w:sz w:val="22"/>
          <w:szCs w:val="22"/>
        </w:rPr>
        <w:t>.</w:t>
      </w:r>
      <w:r w:rsidR="00712842">
        <w:rPr>
          <w:sz w:val="22"/>
          <w:szCs w:val="22"/>
        </w:rPr>
        <w:t>62</w:t>
      </w:r>
      <w:r w:rsidRPr="007A56BC">
        <w:rPr>
          <w:sz w:val="22"/>
          <w:szCs w:val="22"/>
        </w:rPr>
        <w:t>% to RM</w:t>
      </w:r>
      <w:r w:rsidR="007A56BC" w:rsidRPr="007A56BC">
        <w:rPr>
          <w:sz w:val="22"/>
          <w:szCs w:val="22"/>
        </w:rPr>
        <w:t>32</w:t>
      </w:r>
      <w:r w:rsidR="00712842">
        <w:rPr>
          <w:sz w:val="22"/>
          <w:szCs w:val="22"/>
        </w:rPr>
        <w:t>9</w:t>
      </w:r>
      <w:r w:rsidRPr="007A56BC">
        <w:rPr>
          <w:sz w:val="22"/>
          <w:szCs w:val="22"/>
        </w:rPr>
        <w:t>.</w:t>
      </w:r>
      <w:r w:rsidR="00712842">
        <w:rPr>
          <w:sz w:val="22"/>
          <w:szCs w:val="22"/>
        </w:rPr>
        <w:t>399</w:t>
      </w:r>
      <w:r w:rsidRPr="007A56BC">
        <w:rPr>
          <w:sz w:val="22"/>
          <w:szCs w:val="22"/>
        </w:rPr>
        <w:t xml:space="preserve"> million from RM</w:t>
      </w:r>
      <w:r w:rsidR="00A3583C" w:rsidRPr="007A56BC">
        <w:rPr>
          <w:sz w:val="22"/>
          <w:szCs w:val="22"/>
        </w:rPr>
        <w:t>2</w:t>
      </w:r>
      <w:r w:rsidR="00712842">
        <w:rPr>
          <w:sz w:val="22"/>
          <w:szCs w:val="22"/>
        </w:rPr>
        <w:t>48</w:t>
      </w:r>
      <w:r w:rsidR="00617C62" w:rsidRPr="007A56BC">
        <w:rPr>
          <w:sz w:val="22"/>
          <w:szCs w:val="22"/>
        </w:rPr>
        <w:t>.</w:t>
      </w:r>
      <w:r w:rsidR="00712842">
        <w:rPr>
          <w:sz w:val="22"/>
          <w:szCs w:val="22"/>
        </w:rPr>
        <w:t>370</w:t>
      </w:r>
      <w:r w:rsidRPr="007A56BC">
        <w:rPr>
          <w:sz w:val="22"/>
          <w:szCs w:val="22"/>
        </w:rPr>
        <w:t xml:space="preserve"> million for the corresponding quarter ended 3</w:t>
      </w:r>
      <w:r w:rsidR="00A65607" w:rsidRPr="007A56BC">
        <w:rPr>
          <w:sz w:val="22"/>
          <w:szCs w:val="22"/>
        </w:rPr>
        <w:t>0</w:t>
      </w:r>
      <w:r w:rsidR="00BB1A9A" w:rsidRPr="007A56BC">
        <w:rPr>
          <w:sz w:val="22"/>
          <w:szCs w:val="22"/>
        </w:rPr>
        <w:t xml:space="preserve"> </w:t>
      </w:r>
      <w:r w:rsidR="00712842">
        <w:rPr>
          <w:sz w:val="22"/>
          <w:szCs w:val="22"/>
        </w:rPr>
        <w:t>September</w:t>
      </w:r>
      <w:r w:rsidR="00A3583C" w:rsidRPr="007A56BC">
        <w:rPr>
          <w:sz w:val="22"/>
          <w:szCs w:val="22"/>
        </w:rPr>
        <w:t xml:space="preserve"> 2013</w:t>
      </w:r>
      <w:r w:rsidRPr="008F3711">
        <w:rPr>
          <w:sz w:val="22"/>
          <w:szCs w:val="22"/>
        </w:rPr>
        <w:t xml:space="preserve">. The </w:t>
      </w:r>
      <w:r w:rsidR="00024C61" w:rsidRPr="008F3711">
        <w:rPr>
          <w:sz w:val="22"/>
          <w:szCs w:val="22"/>
        </w:rPr>
        <w:t>in</w:t>
      </w:r>
      <w:r w:rsidRPr="008F3711">
        <w:rPr>
          <w:sz w:val="22"/>
          <w:szCs w:val="22"/>
        </w:rPr>
        <w:t xml:space="preserve">crease </w:t>
      </w:r>
      <w:r w:rsidR="00B062F8" w:rsidRPr="008F3711">
        <w:rPr>
          <w:sz w:val="22"/>
          <w:szCs w:val="22"/>
        </w:rPr>
        <w:t xml:space="preserve">in </w:t>
      </w:r>
      <w:r w:rsidRPr="008F3711">
        <w:rPr>
          <w:sz w:val="22"/>
          <w:szCs w:val="22"/>
        </w:rPr>
        <w:t>turnover is mainly due to</w:t>
      </w:r>
      <w:r w:rsidR="00A40473" w:rsidRPr="008F3711">
        <w:rPr>
          <w:sz w:val="22"/>
          <w:szCs w:val="22"/>
        </w:rPr>
        <w:t xml:space="preserve"> </w:t>
      </w:r>
      <w:r w:rsidR="002E44DB">
        <w:rPr>
          <w:sz w:val="22"/>
          <w:szCs w:val="22"/>
        </w:rPr>
        <w:t>higher selling prices</w:t>
      </w:r>
      <w:r w:rsidR="00AD1E20">
        <w:rPr>
          <w:sz w:val="22"/>
          <w:szCs w:val="22"/>
        </w:rPr>
        <w:t xml:space="preserve"> and quantities</w:t>
      </w:r>
      <w:r w:rsidR="00A40473" w:rsidRPr="007A56BC">
        <w:rPr>
          <w:sz w:val="22"/>
          <w:szCs w:val="22"/>
        </w:rPr>
        <w:t>.</w:t>
      </w:r>
    </w:p>
    <w:p w:rsidR="00ED0BC8" w:rsidRPr="007A56BC" w:rsidRDefault="00ED0BC8">
      <w:pPr>
        <w:pStyle w:val="BodyTextIndent"/>
        <w:ind w:left="720"/>
        <w:jc w:val="both"/>
        <w:rPr>
          <w:sz w:val="22"/>
          <w:szCs w:val="22"/>
        </w:rPr>
      </w:pPr>
    </w:p>
    <w:p w:rsidR="00ED0BC8" w:rsidRPr="00B062F8" w:rsidRDefault="00ED0BC8">
      <w:pPr>
        <w:pStyle w:val="BodyTextIndent"/>
        <w:ind w:left="720"/>
        <w:jc w:val="both"/>
        <w:rPr>
          <w:sz w:val="22"/>
          <w:szCs w:val="22"/>
        </w:rPr>
      </w:pPr>
      <w:r w:rsidRPr="007A56BC">
        <w:rPr>
          <w:sz w:val="22"/>
          <w:szCs w:val="22"/>
        </w:rPr>
        <w:t xml:space="preserve">The Group registered a pretax </w:t>
      </w:r>
      <w:r w:rsidR="00F965DD" w:rsidRPr="007A56BC">
        <w:rPr>
          <w:sz w:val="22"/>
          <w:szCs w:val="22"/>
        </w:rPr>
        <w:t>profit</w:t>
      </w:r>
      <w:r w:rsidRPr="007A56BC">
        <w:rPr>
          <w:sz w:val="22"/>
          <w:szCs w:val="22"/>
        </w:rPr>
        <w:t xml:space="preserve"> of RM</w:t>
      </w:r>
      <w:r w:rsidR="00712842">
        <w:rPr>
          <w:sz w:val="22"/>
          <w:szCs w:val="22"/>
        </w:rPr>
        <w:t>14</w:t>
      </w:r>
      <w:r w:rsidR="003458FF" w:rsidRPr="007A56BC">
        <w:rPr>
          <w:sz w:val="22"/>
          <w:szCs w:val="22"/>
        </w:rPr>
        <w:t>.</w:t>
      </w:r>
      <w:r w:rsidR="00712842">
        <w:rPr>
          <w:sz w:val="22"/>
          <w:szCs w:val="22"/>
        </w:rPr>
        <w:t>05</w:t>
      </w:r>
      <w:r w:rsidR="00492921">
        <w:rPr>
          <w:sz w:val="22"/>
          <w:szCs w:val="22"/>
        </w:rPr>
        <w:t>2</w:t>
      </w:r>
      <w:r w:rsidR="00712842">
        <w:rPr>
          <w:sz w:val="22"/>
          <w:szCs w:val="22"/>
        </w:rPr>
        <w:t xml:space="preserve"> </w:t>
      </w:r>
      <w:r w:rsidRPr="007A56BC">
        <w:rPr>
          <w:sz w:val="22"/>
          <w:szCs w:val="22"/>
        </w:rPr>
        <w:t xml:space="preserve">million </w:t>
      </w:r>
      <w:r w:rsidR="0067769B" w:rsidRPr="007A56BC">
        <w:rPr>
          <w:sz w:val="22"/>
          <w:szCs w:val="22"/>
        </w:rPr>
        <w:t xml:space="preserve">in </w:t>
      </w:r>
      <w:r w:rsidR="00712842">
        <w:rPr>
          <w:sz w:val="22"/>
          <w:szCs w:val="22"/>
        </w:rPr>
        <w:t>September</w:t>
      </w:r>
      <w:r w:rsidR="00A3583C" w:rsidRPr="007A56BC">
        <w:rPr>
          <w:sz w:val="22"/>
          <w:szCs w:val="22"/>
        </w:rPr>
        <w:t xml:space="preserve"> 2014</w:t>
      </w:r>
      <w:r w:rsidRPr="007A56BC">
        <w:rPr>
          <w:sz w:val="22"/>
          <w:szCs w:val="22"/>
        </w:rPr>
        <w:t xml:space="preserve"> compared to a pretax </w:t>
      </w:r>
      <w:r w:rsidR="007A56BC" w:rsidRPr="007A56BC">
        <w:rPr>
          <w:sz w:val="22"/>
          <w:szCs w:val="22"/>
        </w:rPr>
        <w:t>profit</w:t>
      </w:r>
      <w:r w:rsidRPr="007A56BC">
        <w:rPr>
          <w:sz w:val="22"/>
          <w:szCs w:val="22"/>
        </w:rPr>
        <w:t xml:space="preserve"> of RM</w:t>
      </w:r>
      <w:r w:rsidR="00712842">
        <w:rPr>
          <w:sz w:val="22"/>
          <w:szCs w:val="22"/>
        </w:rPr>
        <w:t>11</w:t>
      </w:r>
      <w:r w:rsidR="00A3583C" w:rsidRPr="007A56BC">
        <w:rPr>
          <w:sz w:val="22"/>
          <w:szCs w:val="22"/>
        </w:rPr>
        <w:t>.</w:t>
      </w:r>
      <w:r w:rsidR="00712842">
        <w:rPr>
          <w:sz w:val="22"/>
          <w:szCs w:val="22"/>
        </w:rPr>
        <w:t>678</w:t>
      </w:r>
      <w:r w:rsidRPr="007A56BC">
        <w:rPr>
          <w:sz w:val="22"/>
          <w:szCs w:val="22"/>
        </w:rPr>
        <w:t xml:space="preserve"> million in the corresponding quarter last year. The </w:t>
      </w:r>
      <w:r w:rsidR="002E44DB">
        <w:rPr>
          <w:sz w:val="22"/>
          <w:szCs w:val="22"/>
        </w:rPr>
        <w:t xml:space="preserve">higher </w:t>
      </w:r>
      <w:r w:rsidRPr="007A56BC">
        <w:rPr>
          <w:sz w:val="22"/>
          <w:szCs w:val="22"/>
        </w:rPr>
        <w:t xml:space="preserve">pretax </w:t>
      </w:r>
      <w:r w:rsidR="007F39D8" w:rsidRPr="007A56BC">
        <w:rPr>
          <w:sz w:val="22"/>
          <w:szCs w:val="22"/>
        </w:rPr>
        <w:t>profit</w:t>
      </w:r>
      <w:r w:rsidRPr="007A56BC">
        <w:rPr>
          <w:sz w:val="22"/>
          <w:szCs w:val="22"/>
        </w:rPr>
        <w:t xml:space="preserve"> is </w:t>
      </w:r>
      <w:r w:rsidRPr="002E44DB">
        <w:rPr>
          <w:sz w:val="22"/>
          <w:szCs w:val="22"/>
        </w:rPr>
        <w:t>due to</w:t>
      </w:r>
      <w:r w:rsidR="009B4B7E" w:rsidRPr="002E44DB">
        <w:rPr>
          <w:sz w:val="22"/>
          <w:szCs w:val="22"/>
        </w:rPr>
        <w:t xml:space="preserve"> </w:t>
      </w:r>
      <w:r w:rsidR="008F3711" w:rsidRPr="002E44DB">
        <w:rPr>
          <w:sz w:val="22"/>
          <w:szCs w:val="22"/>
        </w:rPr>
        <w:t>lower price for raw materials</w:t>
      </w:r>
      <w:r w:rsidR="002E44DB" w:rsidRPr="002E44DB">
        <w:rPr>
          <w:sz w:val="22"/>
          <w:szCs w:val="22"/>
        </w:rPr>
        <w:t xml:space="preserve"> and higher selling price</w:t>
      </w:r>
      <w:r w:rsidR="002E44DB">
        <w:rPr>
          <w:sz w:val="22"/>
          <w:szCs w:val="22"/>
        </w:rPr>
        <w:t>s</w:t>
      </w:r>
      <w:r w:rsidR="008F3711" w:rsidRPr="002E44DB">
        <w:rPr>
          <w:sz w:val="22"/>
          <w:szCs w:val="22"/>
        </w:rPr>
        <w:t>.</w:t>
      </w:r>
      <w:r w:rsidR="00B510E4" w:rsidRPr="00B062F8">
        <w:rPr>
          <w:sz w:val="22"/>
          <w:szCs w:val="22"/>
        </w:rPr>
        <w:t xml:space="preserve"> </w:t>
      </w:r>
    </w:p>
    <w:p w:rsidR="006953C7" w:rsidRPr="00B062F8" w:rsidRDefault="006953C7">
      <w:pPr>
        <w:tabs>
          <w:tab w:val="left" w:pos="360"/>
        </w:tabs>
        <w:jc w:val="both"/>
        <w:rPr>
          <w:bCs/>
          <w:sz w:val="22"/>
          <w:szCs w:val="22"/>
        </w:rPr>
      </w:pPr>
    </w:p>
    <w:p w:rsidR="00197D64" w:rsidRPr="00B062F8" w:rsidRDefault="00197D64">
      <w:pPr>
        <w:tabs>
          <w:tab w:val="left" w:pos="360"/>
        </w:tabs>
        <w:jc w:val="both"/>
        <w:rPr>
          <w:bCs/>
          <w:sz w:val="22"/>
          <w:szCs w:val="22"/>
        </w:rPr>
      </w:pPr>
    </w:p>
    <w:p w:rsidR="00190E10" w:rsidRPr="00B062F8" w:rsidRDefault="00190E10">
      <w:pPr>
        <w:tabs>
          <w:tab w:val="left" w:pos="360"/>
        </w:tabs>
        <w:jc w:val="both"/>
        <w:rPr>
          <w:b/>
          <w:sz w:val="22"/>
          <w:szCs w:val="22"/>
        </w:rPr>
      </w:pPr>
      <w:r w:rsidRPr="00B062F8">
        <w:rPr>
          <w:b/>
          <w:sz w:val="22"/>
          <w:szCs w:val="22"/>
        </w:rPr>
        <w:t xml:space="preserve">B2. </w:t>
      </w:r>
      <w:r w:rsidRPr="00B062F8">
        <w:rPr>
          <w:b/>
          <w:sz w:val="22"/>
          <w:szCs w:val="22"/>
        </w:rPr>
        <w:tab/>
        <w:t xml:space="preserve">Comparison </w:t>
      </w:r>
      <w:r w:rsidR="009E3DD8" w:rsidRPr="00B062F8">
        <w:rPr>
          <w:b/>
          <w:sz w:val="22"/>
          <w:szCs w:val="22"/>
        </w:rPr>
        <w:t>W</w:t>
      </w:r>
      <w:r w:rsidRPr="00B062F8">
        <w:rPr>
          <w:b/>
          <w:sz w:val="22"/>
          <w:szCs w:val="22"/>
        </w:rPr>
        <w:t>ith The Preceding Quarter’s Results</w:t>
      </w:r>
    </w:p>
    <w:p w:rsidR="00190E10" w:rsidRPr="00B062F8" w:rsidRDefault="00190E10">
      <w:pPr>
        <w:tabs>
          <w:tab w:val="left" w:pos="360"/>
        </w:tabs>
        <w:jc w:val="both"/>
        <w:rPr>
          <w:sz w:val="22"/>
          <w:szCs w:val="22"/>
        </w:rPr>
      </w:pPr>
    </w:p>
    <w:p w:rsidR="00D67945" w:rsidRPr="00042695" w:rsidRDefault="00190E10" w:rsidP="00D67945">
      <w:pPr>
        <w:pStyle w:val="BodyTextIndent"/>
        <w:ind w:left="720"/>
        <w:jc w:val="both"/>
        <w:rPr>
          <w:bCs/>
          <w:sz w:val="22"/>
          <w:szCs w:val="22"/>
        </w:rPr>
      </w:pPr>
      <w:r w:rsidRPr="00B062F8">
        <w:rPr>
          <w:sz w:val="22"/>
          <w:szCs w:val="22"/>
        </w:rPr>
        <w:t>For the quarter ended 3</w:t>
      </w:r>
      <w:r w:rsidR="00A65607">
        <w:rPr>
          <w:sz w:val="22"/>
          <w:szCs w:val="22"/>
        </w:rPr>
        <w:t>0</w:t>
      </w:r>
      <w:r w:rsidR="000E1B90" w:rsidRPr="00B062F8">
        <w:rPr>
          <w:sz w:val="22"/>
          <w:szCs w:val="22"/>
        </w:rPr>
        <w:t xml:space="preserve"> </w:t>
      </w:r>
      <w:r w:rsidR="00712842">
        <w:rPr>
          <w:sz w:val="22"/>
          <w:szCs w:val="22"/>
        </w:rPr>
        <w:t>September</w:t>
      </w:r>
      <w:r w:rsidR="00A3583C">
        <w:rPr>
          <w:sz w:val="22"/>
          <w:szCs w:val="22"/>
        </w:rPr>
        <w:t xml:space="preserve"> 2014</w:t>
      </w:r>
      <w:r w:rsidR="00A425CD" w:rsidRPr="007A56BC">
        <w:rPr>
          <w:sz w:val="22"/>
          <w:szCs w:val="22"/>
        </w:rPr>
        <w:t>,</w:t>
      </w:r>
      <w:r w:rsidRPr="007A56BC">
        <w:rPr>
          <w:sz w:val="22"/>
          <w:szCs w:val="22"/>
        </w:rPr>
        <w:t xml:space="preserve"> </w:t>
      </w:r>
      <w:r w:rsidR="00AA5BA0" w:rsidRPr="007A56BC">
        <w:rPr>
          <w:sz w:val="22"/>
          <w:szCs w:val="22"/>
        </w:rPr>
        <w:t xml:space="preserve">pretax </w:t>
      </w:r>
      <w:r w:rsidR="00F965DD" w:rsidRPr="007A56BC">
        <w:rPr>
          <w:sz w:val="22"/>
          <w:szCs w:val="22"/>
        </w:rPr>
        <w:t>profit</w:t>
      </w:r>
      <w:r w:rsidR="00832BD9" w:rsidRPr="007A56BC">
        <w:rPr>
          <w:sz w:val="22"/>
          <w:szCs w:val="22"/>
        </w:rPr>
        <w:t xml:space="preserve"> of</w:t>
      </w:r>
      <w:r w:rsidR="0069244E" w:rsidRPr="007A56BC">
        <w:rPr>
          <w:sz w:val="22"/>
          <w:szCs w:val="22"/>
        </w:rPr>
        <w:t xml:space="preserve"> </w:t>
      </w:r>
      <w:r w:rsidR="00AA5BA0" w:rsidRPr="007A56BC">
        <w:rPr>
          <w:sz w:val="22"/>
          <w:szCs w:val="22"/>
        </w:rPr>
        <w:t>RM</w:t>
      </w:r>
      <w:r w:rsidR="00712842">
        <w:rPr>
          <w:sz w:val="22"/>
          <w:szCs w:val="22"/>
        </w:rPr>
        <w:t>14</w:t>
      </w:r>
      <w:r w:rsidR="009C0F3F" w:rsidRPr="007A56BC">
        <w:rPr>
          <w:sz w:val="22"/>
          <w:szCs w:val="22"/>
        </w:rPr>
        <w:t>.</w:t>
      </w:r>
      <w:r w:rsidR="00795C6A">
        <w:rPr>
          <w:sz w:val="22"/>
          <w:szCs w:val="22"/>
        </w:rPr>
        <w:t>0</w:t>
      </w:r>
      <w:r w:rsidR="00712842">
        <w:rPr>
          <w:sz w:val="22"/>
          <w:szCs w:val="22"/>
        </w:rPr>
        <w:t>52</w:t>
      </w:r>
      <w:r w:rsidR="005D6917" w:rsidRPr="007A56BC">
        <w:rPr>
          <w:sz w:val="22"/>
          <w:szCs w:val="22"/>
        </w:rPr>
        <w:t xml:space="preserve"> </w:t>
      </w:r>
      <w:r w:rsidR="00C36153" w:rsidRPr="007A56BC">
        <w:rPr>
          <w:sz w:val="22"/>
          <w:szCs w:val="22"/>
        </w:rPr>
        <w:t>million</w:t>
      </w:r>
      <w:r w:rsidRPr="00B062F8">
        <w:rPr>
          <w:sz w:val="22"/>
          <w:szCs w:val="22"/>
        </w:rPr>
        <w:t xml:space="preserve"> as compared to a pretax </w:t>
      </w:r>
      <w:r w:rsidR="00A65607" w:rsidRPr="00260D94">
        <w:rPr>
          <w:sz w:val="22"/>
          <w:szCs w:val="22"/>
        </w:rPr>
        <w:t>profit</w:t>
      </w:r>
      <w:r w:rsidR="00A3583C" w:rsidRPr="00260D94">
        <w:rPr>
          <w:sz w:val="22"/>
          <w:szCs w:val="22"/>
        </w:rPr>
        <w:t>s</w:t>
      </w:r>
      <w:r w:rsidR="000F0A4B" w:rsidRPr="00260D94">
        <w:rPr>
          <w:sz w:val="22"/>
          <w:szCs w:val="22"/>
        </w:rPr>
        <w:t xml:space="preserve"> of RM</w:t>
      </w:r>
      <w:r w:rsidR="00260D94" w:rsidRPr="00260D94">
        <w:rPr>
          <w:sz w:val="22"/>
          <w:szCs w:val="22"/>
        </w:rPr>
        <w:t>8</w:t>
      </w:r>
      <w:r w:rsidR="003F4A86" w:rsidRPr="00260D94">
        <w:rPr>
          <w:sz w:val="22"/>
          <w:szCs w:val="22"/>
        </w:rPr>
        <w:t>.</w:t>
      </w:r>
      <w:r w:rsidR="00260D94" w:rsidRPr="00260D94">
        <w:rPr>
          <w:sz w:val="22"/>
          <w:szCs w:val="22"/>
        </w:rPr>
        <w:t>903</w:t>
      </w:r>
      <w:r w:rsidR="0013463A" w:rsidRPr="00B062F8">
        <w:rPr>
          <w:sz w:val="22"/>
          <w:szCs w:val="22"/>
        </w:rPr>
        <w:t xml:space="preserve"> </w:t>
      </w:r>
      <w:r w:rsidRPr="00B062F8">
        <w:rPr>
          <w:sz w:val="22"/>
          <w:szCs w:val="22"/>
        </w:rPr>
        <w:t>million for the preceding quarter ended 3</w:t>
      </w:r>
      <w:r w:rsidR="00712842">
        <w:rPr>
          <w:sz w:val="22"/>
          <w:szCs w:val="22"/>
        </w:rPr>
        <w:t>0</w:t>
      </w:r>
      <w:r w:rsidR="00A3583C">
        <w:rPr>
          <w:sz w:val="22"/>
          <w:szCs w:val="22"/>
        </w:rPr>
        <w:t xml:space="preserve"> </w:t>
      </w:r>
      <w:r w:rsidR="00712842">
        <w:rPr>
          <w:sz w:val="22"/>
          <w:szCs w:val="22"/>
        </w:rPr>
        <w:t>June</w:t>
      </w:r>
      <w:r w:rsidR="00A3583C">
        <w:rPr>
          <w:sz w:val="22"/>
          <w:szCs w:val="22"/>
        </w:rPr>
        <w:t xml:space="preserve"> 201</w:t>
      </w:r>
      <w:r w:rsidR="00A65607">
        <w:rPr>
          <w:sz w:val="22"/>
          <w:szCs w:val="22"/>
        </w:rPr>
        <w:t>4</w:t>
      </w:r>
      <w:r w:rsidR="00DF52D4" w:rsidRPr="00B062F8">
        <w:rPr>
          <w:sz w:val="22"/>
          <w:szCs w:val="22"/>
        </w:rPr>
        <w:t>.</w:t>
      </w:r>
      <w:r w:rsidRPr="00B062F8">
        <w:rPr>
          <w:sz w:val="22"/>
          <w:szCs w:val="22"/>
        </w:rPr>
        <w:t xml:space="preserve"> The </w:t>
      </w:r>
      <w:r w:rsidR="0067769B" w:rsidRPr="00B062F8">
        <w:rPr>
          <w:sz w:val="22"/>
          <w:szCs w:val="22"/>
        </w:rPr>
        <w:t xml:space="preserve">differences </w:t>
      </w:r>
      <w:r w:rsidRPr="007F39D8">
        <w:rPr>
          <w:sz w:val="22"/>
          <w:szCs w:val="22"/>
        </w:rPr>
        <w:t>Group’s</w:t>
      </w:r>
      <w:r w:rsidR="00D76258" w:rsidRPr="007F39D8">
        <w:rPr>
          <w:sz w:val="22"/>
          <w:szCs w:val="22"/>
        </w:rPr>
        <w:t xml:space="preserve"> </w:t>
      </w:r>
      <w:r w:rsidR="00042695" w:rsidRPr="007F39D8">
        <w:rPr>
          <w:sz w:val="22"/>
          <w:szCs w:val="22"/>
        </w:rPr>
        <w:t xml:space="preserve">pretax </w:t>
      </w:r>
      <w:r w:rsidR="007F39D8" w:rsidRPr="007F39D8">
        <w:rPr>
          <w:sz w:val="22"/>
          <w:szCs w:val="22"/>
        </w:rPr>
        <w:t>profit</w:t>
      </w:r>
      <w:r w:rsidR="00C3573F" w:rsidRPr="007F39D8">
        <w:rPr>
          <w:sz w:val="22"/>
          <w:szCs w:val="22"/>
        </w:rPr>
        <w:t xml:space="preserve"> </w:t>
      </w:r>
      <w:r w:rsidR="00832BD9" w:rsidRPr="007F39D8">
        <w:rPr>
          <w:sz w:val="22"/>
          <w:szCs w:val="22"/>
        </w:rPr>
        <w:t xml:space="preserve">for </w:t>
      </w:r>
      <w:r w:rsidR="00AA5BA0" w:rsidRPr="007F39D8">
        <w:rPr>
          <w:sz w:val="22"/>
          <w:szCs w:val="22"/>
        </w:rPr>
        <w:t>the period</w:t>
      </w:r>
      <w:r w:rsidRPr="007F39D8">
        <w:rPr>
          <w:sz w:val="22"/>
          <w:szCs w:val="22"/>
        </w:rPr>
        <w:t xml:space="preserve"> was </w:t>
      </w:r>
      <w:r w:rsidR="00AA5BA0" w:rsidRPr="000B765D">
        <w:rPr>
          <w:sz w:val="22"/>
          <w:szCs w:val="22"/>
        </w:rPr>
        <w:t xml:space="preserve">due </w:t>
      </w:r>
      <w:r w:rsidR="00C17F60" w:rsidRPr="000B765D">
        <w:rPr>
          <w:sz w:val="22"/>
          <w:szCs w:val="22"/>
        </w:rPr>
        <w:t xml:space="preserve">to </w:t>
      </w:r>
      <w:r w:rsidR="000B765D" w:rsidRPr="000B765D">
        <w:rPr>
          <w:sz w:val="22"/>
          <w:szCs w:val="22"/>
        </w:rPr>
        <w:t>better</w:t>
      </w:r>
      <w:r w:rsidR="007F39D8" w:rsidRPr="000B765D">
        <w:rPr>
          <w:sz w:val="22"/>
          <w:szCs w:val="22"/>
        </w:rPr>
        <w:t xml:space="preserve"> selling prices of poultry products</w:t>
      </w:r>
      <w:r w:rsidR="002E44DB">
        <w:rPr>
          <w:sz w:val="22"/>
          <w:szCs w:val="22"/>
        </w:rPr>
        <w:t xml:space="preserve"> and lower prices of raw materials</w:t>
      </w:r>
      <w:r w:rsidR="0067769B" w:rsidRPr="000B765D">
        <w:rPr>
          <w:sz w:val="22"/>
          <w:szCs w:val="22"/>
        </w:rPr>
        <w:t>.</w:t>
      </w:r>
    </w:p>
    <w:p w:rsidR="00190E10" w:rsidRPr="00042695" w:rsidRDefault="00190E10">
      <w:pPr>
        <w:pStyle w:val="BodyTextIndent"/>
        <w:jc w:val="both"/>
        <w:rPr>
          <w:sz w:val="22"/>
          <w:szCs w:val="22"/>
        </w:rPr>
      </w:pPr>
    </w:p>
    <w:p w:rsidR="00BC75AA" w:rsidRPr="00042695" w:rsidRDefault="00BC75AA">
      <w:pPr>
        <w:pStyle w:val="BodyTextIndent"/>
        <w:jc w:val="both"/>
        <w:rPr>
          <w:sz w:val="22"/>
          <w:szCs w:val="22"/>
        </w:rPr>
      </w:pPr>
    </w:p>
    <w:p w:rsidR="00190E10" w:rsidRPr="00042695" w:rsidRDefault="00190E10">
      <w:pPr>
        <w:pStyle w:val="Heading1"/>
        <w:tabs>
          <w:tab w:val="left" w:pos="360"/>
        </w:tabs>
        <w:rPr>
          <w:szCs w:val="22"/>
        </w:rPr>
      </w:pPr>
      <w:r w:rsidRPr="00042695">
        <w:rPr>
          <w:szCs w:val="22"/>
        </w:rPr>
        <w:t xml:space="preserve">B3. </w:t>
      </w:r>
      <w:r w:rsidRPr="00042695">
        <w:rPr>
          <w:szCs w:val="22"/>
        </w:rPr>
        <w:tab/>
        <w:t>Commentary On Current Year Prospect</w:t>
      </w:r>
    </w:p>
    <w:p w:rsidR="00190E10" w:rsidRPr="00042695" w:rsidRDefault="00190E10">
      <w:pPr>
        <w:pStyle w:val="BodyTextIndent"/>
        <w:jc w:val="both"/>
        <w:rPr>
          <w:sz w:val="22"/>
          <w:szCs w:val="22"/>
        </w:rPr>
      </w:pPr>
    </w:p>
    <w:p w:rsidR="005D195F" w:rsidRPr="00662ED7" w:rsidRDefault="00C81A7C" w:rsidP="00116B73">
      <w:pPr>
        <w:tabs>
          <w:tab w:val="left" w:pos="360"/>
        </w:tabs>
        <w:ind w:left="720"/>
        <w:jc w:val="both"/>
        <w:rPr>
          <w:sz w:val="22"/>
          <w:szCs w:val="22"/>
        </w:rPr>
      </w:pPr>
      <w:r>
        <w:rPr>
          <w:sz w:val="22"/>
          <w:szCs w:val="22"/>
        </w:rPr>
        <w:t xml:space="preserve">Currently, the average purchase prices of imported raw materials and </w:t>
      </w:r>
      <w:r w:rsidR="007A56BC">
        <w:rPr>
          <w:sz w:val="22"/>
          <w:szCs w:val="22"/>
        </w:rPr>
        <w:t xml:space="preserve">selling price </w:t>
      </w:r>
      <w:r>
        <w:rPr>
          <w:sz w:val="22"/>
          <w:szCs w:val="22"/>
        </w:rPr>
        <w:t>of poultry products remained relatively stable. With these, the Group cautiously expects to report a positive set of results in the coming financial year ending 31 December 2014.</w:t>
      </w:r>
    </w:p>
    <w:p w:rsidR="00042695" w:rsidRDefault="00042695">
      <w:pPr>
        <w:pStyle w:val="BodyTextIndent"/>
        <w:tabs>
          <w:tab w:val="left" w:pos="720"/>
        </w:tabs>
        <w:ind w:left="0"/>
        <w:jc w:val="both"/>
        <w:rPr>
          <w:b/>
          <w:bCs/>
          <w:sz w:val="22"/>
          <w:szCs w:val="22"/>
        </w:rPr>
      </w:pPr>
    </w:p>
    <w:p w:rsidR="00143975" w:rsidRPr="00662ED7" w:rsidRDefault="00143975">
      <w:pPr>
        <w:pStyle w:val="BodyTextIndent"/>
        <w:tabs>
          <w:tab w:val="left" w:pos="720"/>
        </w:tabs>
        <w:ind w:left="0"/>
        <w:jc w:val="both"/>
        <w:rPr>
          <w:b/>
          <w:bCs/>
          <w:sz w:val="22"/>
          <w:szCs w:val="22"/>
        </w:rPr>
      </w:pPr>
    </w:p>
    <w:p w:rsidR="00190E10" w:rsidRPr="00533668" w:rsidRDefault="00190E10">
      <w:pPr>
        <w:pStyle w:val="BodyTextIndent"/>
        <w:tabs>
          <w:tab w:val="left" w:pos="720"/>
        </w:tabs>
        <w:ind w:left="0"/>
        <w:jc w:val="both"/>
        <w:rPr>
          <w:b/>
          <w:bCs/>
          <w:sz w:val="22"/>
          <w:szCs w:val="22"/>
        </w:rPr>
      </w:pPr>
      <w:r w:rsidRPr="00533668">
        <w:rPr>
          <w:b/>
          <w:bCs/>
          <w:sz w:val="22"/>
          <w:szCs w:val="22"/>
        </w:rPr>
        <w:t>B4.</w:t>
      </w:r>
      <w:r w:rsidRPr="00533668">
        <w:rPr>
          <w:b/>
          <w:bCs/>
          <w:sz w:val="22"/>
          <w:szCs w:val="22"/>
        </w:rPr>
        <w:tab/>
      </w:r>
      <w:r w:rsidRPr="00533668">
        <w:rPr>
          <w:b/>
          <w:bCs/>
          <w:sz w:val="22"/>
          <w:szCs w:val="22"/>
        </w:rPr>
        <w:tab/>
        <w:t>Variance on forecast profit / profit guarantee</w:t>
      </w:r>
    </w:p>
    <w:p w:rsidR="00190E10" w:rsidRPr="00533668" w:rsidRDefault="00190E10">
      <w:pPr>
        <w:pStyle w:val="BodyTextIndent"/>
        <w:jc w:val="both"/>
        <w:rPr>
          <w:sz w:val="22"/>
          <w:szCs w:val="22"/>
        </w:rPr>
      </w:pPr>
    </w:p>
    <w:p w:rsidR="0067769B" w:rsidRDefault="00190E10">
      <w:pPr>
        <w:pStyle w:val="BodyTextIndent"/>
        <w:ind w:left="720"/>
        <w:jc w:val="both"/>
        <w:rPr>
          <w:sz w:val="22"/>
          <w:szCs w:val="22"/>
        </w:rPr>
      </w:pPr>
      <w:r w:rsidRPr="00533668">
        <w:rPr>
          <w:sz w:val="22"/>
          <w:szCs w:val="22"/>
        </w:rPr>
        <w:t>Not applicable as no profit guarantee was issued.</w:t>
      </w:r>
    </w:p>
    <w:p w:rsidR="00C81A7C" w:rsidRDefault="00C81A7C">
      <w:pPr>
        <w:pStyle w:val="BodyTextIndent"/>
        <w:ind w:left="720"/>
        <w:jc w:val="both"/>
        <w:rPr>
          <w:sz w:val="22"/>
          <w:szCs w:val="22"/>
        </w:rPr>
      </w:pPr>
    </w:p>
    <w:p w:rsidR="002E44DB" w:rsidRDefault="002E44DB">
      <w:pPr>
        <w:pStyle w:val="BodyTextIndent"/>
        <w:ind w:left="720"/>
        <w:jc w:val="both"/>
        <w:rPr>
          <w:sz w:val="22"/>
          <w:szCs w:val="22"/>
        </w:rPr>
      </w:pPr>
    </w:p>
    <w:p w:rsidR="0067769B" w:rsidRDefault="0067769B">
      <w:pPr>
        <w:pStyle w:val="BodyTextIndent"/>
        <w:ind w:left="720"/>
        <w:jc w:val="both"/>
        <w:rPr>
          <w:sz w:val="22"/>
          <w:szCs w:val="22"/>
        </w:rPr>
      </w:pPr>
    </w:p>
    <w:p w:rsidR="00B77B9B" w:rsidRPr="00533668" w:rsidRDefault="00B77B9B" w:rsidP="00B77B9B">
      <w:pPr>
        <w:pStyle w:val="BodyTextIndent"/>
        <w:tabs>
          <w:tab w:val="left" w:pos="720"/>
        </w:tabs>
        <w:ind w:left="0"/>
        <w:jc w:val="both"/>
        <w:rPr>
          <w:b/>
          <w:bCs/>
          <w:sz w:val="22"/>
          <w:szCs w:val="22"/>
        </w:rPr>
      </w:pPr>
      <w:r w:rsidRPr="00533668">
        <w:rPr>
          <w:b/>
          <w:bCs/>
          <w:sz w:val="22"/>
          <w:szCs w:val="22"/>
        </w:rPr>
        <w:t>B</w:t>
      </w:r>
      <w:r>
        <w:rPr>
          <w:b/>
          <w:bCs/>
          <w:sz w:val="22"/>
          <w:szCs w:val="22"/>
        </w:rPr>
        <w:t>5</w:t>
      </w:r>
      <w:r w:rsidRPr="00533668">
        <w:rPr>
          <w:b/>
          <w:bCs/>
          <w:sz w:val="22"/>
          <w:szCs w:val="22"/>
        </w:rPr>
        <w:t>.</w:t>
      </w:r>
      <w:r w:rsidRPr="00533668">
        <w:rPr>
          <w:b/>
          <w:bCs/>
          <w:sz w:val="22"/>
          <w:szCs w:val="22"/>
        </w:rPr>
        <w:tab/>
      </w:r>
      <w:r w:rsidRPr="00533668">
        <w:rPr>
          <w:b/>
          <w:bCs/>
          <w:sz w:val="22"/>
          <w:szCs w:val="22"/>
        </w:rPr>
        <w:tab/>
      </w:r>
      <w:r>
        <w:rPr>
          <w:b/>
          <w:bCs/>
          <w:sz w:val="22"/>
          <w:szCs w:val="22"/>
        </w:rPr>
        <w:t>Statement By Directors</w:t>
      </w:r>
    </w:p>
    <w:p w:rsidR="00B77B9B" w:rsidRDefault="00B77B9B">
      <w:pPr>
        <w:pStyle w:val="BodyTextIndent"/>
        <w:ind w:left="720"/>
        <w:jc w:val="both"/>
        <w:rPr>
          <w:sz w:val="22"/>
          <w:szCs w:val="22"/>
        </w:rPr>
      </w:pPr>
    </w:p>
    <w:p w:rsidR="00B77B9B" w:rsidRDefault="00B77B9B">
      <w:pPr>
        <w:pStyle w:val="BodyTextIndent"/>
        <w:ind w:left="720"/>
        <w:jc w:val="both"/>
        <w:rPr>
          <w:sz w:val="22"/>
          <w:szCs w:val="22"/>
        </w:rPr>
      </w:pPr>
      <w:r>
        <w:rPr>
          <w:sz w:val="22"/>
          <w:szCs w:val="22"/>
        </w:rPr>
        <w:t>The Group did not issue any profit forecast or projection in a public document in the current quarter or prior financial period.</w:t>
      </w:r>
    </w:p>
    <w:p w:rsidR="00B77B9B" w:rsidRDefault="00B77B9B">
      <w:pPr>
        <w:pStyle w:val="BodyTextIndent"/>
        <w:ind w:left="720"/>
        <w:jc w:val="both"/>
        <w:rPr>
          <w:sz w:val="22"/>
          <w:szCs w:val="22"/>
        </w:rPr>
      </w:pPr>
    </w:p>
    <w:p w:rsidR="00B77B9B" w:rsidRDefault="00B77B9B">
      <w:pPr>
        <w:pStyle w:val="BodyTextIndent"/>
        <w:ind w:left="720"/>
        <w:jc w:val="both"/>
        <w:rPr>
          <w:sz w:val="22"/>
          <w:szCs w:val="22"/>
        </w:rPr>
      </w:pPr>
    </w:p>
    <w:p w:rsidR="00190E10" w:rsidRPr="00533668" w:rsidRDefault="00190E10" w:rsidP="00B1442C">
      <w:pPr>
        <w:pStyle w:val="BodyTextIndent"/>
        <w:ind w:left="0"/>
        <w:jc w:val="both"/>
        <w:rPr>
          <w:b/>
          <w:sz w:val="22"/>
          <w:szCs w:val="22"/>
        </w:rPr>
      </w:pPr>
      <w:r w:rsidRPr="00533668">
        <w:rPr>
          <w:b/>
          <w:sz w:val="22"/>
          <w:szCs w:val="22"/>
        </w:rPr>
        <w:t>B</w:t>
      </w:r>
      <w:r w:rsidR="00B77B9B">
        <w:rPr>
          <w:b/>
          <w:sz w:val="22"/>
          <w:szCs w:val="22"/>
        </w:rPr>
        <w:t>6</w:t>
      </w:r>
      <w:r w:rsidRPr="00533668">
        <w:rPr>
          <w:b/>
          <w:sz w:val="22"/>
          <w:szCs w:val="22"/>
        </w:rPr>
        <w:t>.</w:t>
      </w:r>
      <w:r w:rsidRPr="00533668">
        <w:rPr>
          <w:b/>
          <w:sz w:val="22"/>
          <w:szCs w:val="22"/>
        </w:rPr>
        <w:tab/>
      </w:r>
      <w:r w:rsidRPr="00533668">
        <w:rPr>
          <w:b/>
          <w:sz w:val="22"/>
          <w:szCs w:val="22"/>
        </w:rPr>
        <w:tab/>
        <w:t>Income Tax Expense</w:t>
      </w:r>
    </w:p>
    <w:p w:rsidR="00190E10" w:rsidRPr="00533668" w:rsidRDefault="00190E10">
      <w:pPr>
        <w:tabs>
          <w:tab w:val="left" w:pos="360"/>
        </w:tabs>
        <w:jc w:val="both"/>
        <w:rPr>
          <w:b/>
          <w:sz w:val="22"/>
          <w:szCs w:val="22"/>
        </w:rPr>
      </w:pPr>
    </w:p>
    <w:p w:rsidR="00190E10" w:rsidRPr="00533668" w:rsidRDefault="00190E10">
      <w:pPr>
        <w:pStyle w:val="BodyText31"/>
        <w:rPr>
          <w:szCs w:val="22"/>
        </w:rPr>
      </w:pPr>
      <w:r w:rsidRPr="00533668">
        <w:rPr>
          <w:szCs w:val="22"/>
        </w:rPr>
        <w:t>The tax</w:t>
      </w:r>
      <w:r w:rsidR="00A1070A">
        <w:rPr>
          <w:szCs w:val="22"/>
        </w:rPr>
        <w:t xml:space="preserve"> expense</w:t>
      </w:r>
      <w:r w:rsidRPr="00533668">
        <w:rPr>
          <w:szCs w:val="22"/>
        </w:rPr>
        <w:t xml:space="preserve"> comprises:</w:t>
      </w:r>
    </w:p>
    <w:p w:rsidR="00190E10" w:rsidRPr="00533668" w:rsidRDefault="00190E10">
      <w:pPr>
        <w:tabs>
          <w:tab w:val="left" w:pos="360"/>
        </w:tabs>
        <w:ind w:left="360"/>
        <w:jc w:val="both"/>
        <w:rPr>
          <w:sz w:val="22"/>
          <w:szCs w:val="22"/>
        </w:rPr>
      </w:pPr>
    </w:p>
    <w:tbl>
      <w:tblPr>
        <w:tblW w:w="819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880"/>
        <w:gridCol w:w="1170"/>
        <w:gridCol w:w="1170"/>
        <w:gridCol w:w="270"/>
        <w:gridCol w:w="1350"/>
        <w:gridCol w:w="1350"/>
      </w:tblGrid>
      <w:tr w:rsidR="00190E10" w:rsidRPr="00533668">
        <w:tblPrEx>
          <w:tblCellMar>
            <w:top w:w="0" w:type="dxa"/>
            <w:bottom w:w="0" w:type="dxa"/>
          </w:tblCellMar>
        </w:tblPrEx>
        <w:trPr>
          <w:cantSplit/>
        </w:trPr>
        <w:tc>
          <w:tcPr>
            <w:tcW w:w="2880" w:type="dxa"/>
            <w:tcBorders>
              <w:top w:val="nil"/>
              <w:left w:val="nil"/>
              <w:bottom w:val="nil"/>
              <w:right w:val="nil"/>
            </w:tcBorders>
            <w:vAlign w:val="bottom"/>
          </w:tcPr>
          <w:p w:rsidR="00190E10" w:rsidRPr="00533668" w:rsidRDefault="00190E10">
            <w:pPr>
              <w:jc w:val="both"/>
              <w:rPr>
                <w:b/>
                <w:sz w:val="22"/>
                <w:szCs w:val="22"/>
              </w:rPr>
            </w:pPr>
          </w:p>
        </w:tc>
        <w:tc>
          <w:tcPr>
            <w:tcW w:w="2340" w:type="dxa"/>
            <w:gridSpan w:val="2"/>
            <w:tcBorders>
              <w:top w:val="nil"/>
              <w:left w:val="nil"/>
              <w:bottom w:val="nil"/>
              <w:right w:val="nil"/>
            </w:tcBorders>
            <w:vAlign w:val="bottom"/>
          </w:tcPr>
          <w:p w:rsidR="00190E10" w:rsidRPr="00533668" w:rsidRDefault="00190E10">
            <w:pPr>
              <w:ind w:right="72"/>
              <w:jc w:val="center"/>
              <w:rPr>
                <w:b/>
                <w:sz w:val="22"/>
                <w:szCs w:val="22"/>
              </w:rPr>
            </w:pPr>
            <w:r w:rsidRPr="00533668">
              <w:rPr>
                <w:b/>
                <w:sz w:val="22"/>
                <w:szCs w:val="22"/>
              </w:rPr>
              <w:t>Individual Quarter</w:t>
            </w:r>
          </w:p>
        </w:tc>
        <w:tc>
          <w:tcPr>
            <w:tcW w:w="270" w:type="dxa"/>
            <w:tcBorders>
              <w:top w:val="nil"/>
              <w:left w:val="nil"/>
              <w:bottom w:val="nil"/>
              <w:right w:val="nil"/>
            </w:tcBorders>
          </w:tcPr>
          <w:p w:rsidR="00190E10" w:rsidRPr="00533668" w:rsidRDefault="00190E10">
            <w:pPr>
              <w:pStyle w:val="Header"/>
              <w:tabs>
                <w:tab w:val="clear" w:pos="4320"/>
                <w:tab w:val="clear" w:pos="8640"/>
              </w:tabs>
              <w:jc w:val="center"/>
              <w:rPr>
                <w:b/>
                <w:bCs/>
                <w:sz w:val="22"/>
                <w:szCs w:val="22"/>
              </w:rPr>
            </w:pPr>
            <w:r w:rsidRPr="00533668">
              <w:rPr>
                <w:b/>
                <w:bCs/>
                <w:sz w:val="22"/>
                <w:szCs w:val="22"/>
              </w:rPr>
              <w:t xml:space="preserve">   </w:t>
            </w:r>
          </w:p>
        </w:tc>
        <w:tc>
          <w:tcPr>
            <w:tcW w:w="2700" w:type="dxa"/>
            <w:gridSpan w:val="2"/>
            <w:tcBorders>
              <w:top w:val="nil"/>
              <w:left w:val="nil"/>
              <w:bottom w:val="nil"/>
              <w:right w:val="nil"/>
            </w:tcBorders>
            <w:vAlign w:val="bottom"/>
          </w:tcPr>
          <w:p w:rsidR="00190E10" w:rsidRPr="00533668" w:rsidRDefault="00190E10">
            <w:pPr>
              <w:pStyle w:val="Header"/>
              <w:tabs>
                <w:tab w:val="clear" w:pos="4320"/>
                <w:tab w:val="clear" w:pos="8640"/>
              </w:tabs>
              <w:jc w:val="center"/>
              <w:rPr>
                <w:b/>
                <w:bCs/>
                <w:sz w:val="22"/>
                <w:szCs w:val="22"/>
              </w:rPr>
            </w:pPr>
            <w:r w:rsidRPr="00533668">
              <w:rPr>
                <w:b/>
                <w:bCs/>
                <w:sz w:val="22"/>
                <w:szCs w:val="22"/>
              </w:rPr>
              <w:t>Cumulative Quarter</w:t>
            </w:r>
          </w:p>
        </w:tc>
      </w:tr>
      <w:tr w:rsidR="00190E10" w:rsidRPr="00533668">
        <w:tblPrEx>
          <w:tblCellMar>
            <w:top w:w="0" w:type="dxa"/>
            <w:bottom w:w="0" w:type="dxa"/>
          </w:tblCellMar>
        </w:tblPrEx>
        <w:tc>
          <w:tcPr>
            <w:tcW w:w="2880" w:type="dxa"/>
            <w:tcBorders>
              <w:top w:val="nil"/>
              <w:left w:val="nil"/>
              <w:bottom w:val="nil"/>
              <w:right w:val="nil"/>
            </w:tcBorders>
            <w:vAlign w:val="bottom"/>
          </w:tcPr>
          <w:p w:rsidR="00190E10" w:rsidRPr="00533668" w:rsidRDefault="00190E10">
            <w:pPr>
              <w:jc w:val="both"/>
              <w:rPr>
                <w:b/>
                <w:sz w:val="22"/>
                <w:szCs w:val="22"/>
              </w:rPr>
            </w:pPr>
          </w:p>
        </w:tc>
        <w:tc>
          <w:tcPr>
            <w:tcW w:w="1170" w:type="dxa"/>
            <w:tcBorders>
              <w:top w:val="nil"/>
              <w:left w:val="nil"/>
              <w:bottom w:val="nil"/>
              <w:right w:val="nil"/>
            </w:tcBorders>
            <w:vAlign w:val="bottom"/>
          </w:tcPr>
          <w:p w:rsidR="00190E10" w:rsidRPr="00533668" w:rsidRDefault="00A507ED" w:rsidP="00260D94">
            <w:pPr>
              <w:pStyle w:val="Header"/>
              <w:tabs>
                <w:tab w:val="clear" w:pos="4320"/>
                <w:tab w:val="clear" w:pos="8640"/>
              </w:tabs>
              <w:ind w:right="72"/>
              <w:rPr>
                <w:b/>
                <w:sz w:val="22"/>
                <w:szCs w:val="22"/>
              </w:rPr>
            </w:pPr>
            <w:r>
              <w:rPr>
                <w:b/>
                <w:sz w:val="22"/>
                <w:szCs w:val="22"/>
              </w:rPr>
              <w:t xml:space="preserve"> </w:t>
            </w:r>
            <w:r w:rsidR="00A22555">
              <w:rPr>
                <w:b/>
                <w:sz w:val="22"/>
                <w:szCs w:val="22"/>
              </w:rPr>
              <w:t>3</w:t>
            </w:r>
            <w:r w:rsidR="00A65607">
              <w:rPr>
                <w:b/>
                <w:sz w:val="22"/>
                <w:szCs w:val="22"/>
              </w:rPr>
              <w:t>0</w:t>
            </w:r>
            <w:r w:rsidR="000E1B90">
              <w:rPr>
                <w:b/>
                <w:sz w:val="22"/>
                <w:szCs w:val="22"/>
              </w:rPr>
              <w:t>.</w:t>
            </w:r>
            <w:r w:rsidR="00730E5C">
              <w:rPr>
                <w:b/>
                <w:sz w:val="22"/>
                <w:szCs w:val="22"/>
              </w:rPr>
              <w:t>0</w:t>
            </w:r>
            <w:r w:rsidR="00260D94">
              <w:rPr>
                <w:b/>
                <w:sz w:val="22"/>
                <w:szCs w:val="22"/>
              </w:rPr>
              <w:t>9</w:t>
            </w:r>
            <w:r w:rsidR="00FA429A">
              <w:rPr>
                <w:b/>
                <w:sz w:val="22"/>
                <w:szCs w:val="22"/>
              </w:rPr>
              <w:t>.1</w:t>
            </w:r>
            <w:r w:rsidR="00730E5C">
              <w:rPr>
                <w:b/>
                <w:sz w:val="22"/>
                <w:szCs w:val="22"/>
              </w:rPr>
              <w:t>4</w:t>
            </w:r>
          </w:p>
        </w:tc>
        <w:tc>
          <w:tcPr>
            <w:tcW w:w="1170" w:type="dxa"/>
            <w:tcBorders>
              <w:top w:val="nil"/>
              <w:left w:val="nil"/>
              <w:bottom w:val="nil"/>
              <w:right w:val="nil"/>
            </w:tcBorders>
          </w:tcPr>
          <w:p w:rsidR="00A22555" w:rsidRDefault="00A22555" w:rsidP="00AA5BA0">
            <w:pPr>
              <w:ind w:right="72"/>
              <w:jc w:val="center"/>
              <w:rPr>
                <w:b/>
                <w:sz w:val="22"/>
                <w:szCs w:val="22"/>
              </w:rPr>
            </w:pPr>
          </w:p>
          <w:p w:rsidR="00190E10" w:rsidRPr="00533668" w:rsidRDefault="00A22555" w:rsidP="00260D94">
            <w:pPr>
              <w:ind w:right="72"/>
              <w:jc w:val="center"/>
              <w:rPr>
                <w:b/>
                <w:sz w:val="22"/>
                <w:szCs w:val="22"/>
              </w:rPr>
            </w:pPr>
            <w:r>
              <w:rPr>
                <w:b/>
                <w:sz w:val="22"/>
                <w:szCs w:val="22"/>
              </w:rPr>
              <w:t>3</w:t>
            </w:r>
            <w:r w:rsidR="00A65607">
              <w:rPr>
                <w:b/>
                <w:sz w:val="22"/>
                <w:szCs w:val="22"/>
              </w:rPr>
              <w:t>0</w:t>
            </w:r>
            <w:r w:rsidR="00214C17">
              <w:rPr>
                <w:b/>
                <w:sz w:val="22"/>
                <w:szCs w:val="22"/>
              </w:rPr>
              <w:t>.</w:t>
            </w:r>
            <w:r w:rsidR="00730E5C">
              <w:rPr>
                <w:b/>
                <w:sz w:val="22"/>
                <w:szCs w:val="22"/>
              </w:rPr>
              <w:t>0</w:t>
            </w:r>
            <w:r w:rsidR="00260D94">
              <w:rPr>
                <w:b/>
                <w:sz w:val="22"/>
                <w:szCs w:val="22"/>
              </w:rPr>
              <w:t>9</w:t>
            </w:r>
            <w:r w:rsidR="00660C00">
              <w:rPr>
                <w:b/>
                <w:sz w:val="22"/>
                <w:szCs w:val="22"/>
              </w:rPr>
              <w:t>.1</w:t>
            </w:r>
            <w:r w:rsidR="00730E5C">
              <w:rPr>
                <w:b/>
                <w:sz w:val="22"/>
                <w:szCs w:val="22"/>
              </w:rPr>
              <w:t>3</w:t>
            </w:r>
          </w:p>
        </w:tc>
        <w:tc>
          <w:tcPr>
            <w:tcW w:w="270" w:type="dxa"/>
            <w:tcBorders>
              <w:top w:val="nil"/>
              <w:left w:val="nil"/>
              <w:bottom w:val="nil"/>
              <w:right w:val="nil"/>
            </w:tcBorders>
            <w:vAlign w:val="bottom"/>
          </w:tcPr>
          <w:p w:rsidR="00190E10" w:rsidRPr="00533668" w:rsidRDefault="00190E10">
            <w:pPr>
              <w:ind w:right="72"/>
              <w:jc w:val="center"/>
              <w:rPr>
                <w:b/>
                <w:sz w:val="22"/>
                <w:szCs w:val="22"/>
              </w:rPr>
            </w:pPr>
          </w:p>
        </w:tc>
        <w:tc>
          <w:tcPr>
            <w:tcW w:w="1350" w:type="dxa"/>
            <w:tcBorders>
              <w:top w:val="nil"/>
              <w:left w:val="nil"/>
              <w:bottom w:val="nil"/>
              <w:right w:val="nil"/>
            </w:tcBorders>
            <w:vAlign w:val="bottom"/>
          </w:tcPr>
          <w:p w:rsidR="00190E10" w:rsidRPr="00533668" w:rsidRDefault="00A507ED" w:rsidP="00260D94">
            <w:pPr>
              <w:ind w:right="72"/>
              <w:rPr>
                <w:b/>
                <w:sz w:val="22"/>
                <w:szCs w:val="22"/>
              </w:rPr>
            </w:pPr>
            <w:r>
              <w:rPr>
                <w:b/>
                <w:sz w:val="22"/>
                <w:szCs w:val="22"/>
              </w:rPr>
              <w:t xml:space="preserve">   </w:t>
            </w:r>
            <w:r w:rsidR="00894AF7" w:rsidRPr="00533668">
              <w:rPr>
                <w:b/>
                <w:sz w:val="22"/>
                <w:szCs w:val="22"/>
              </w:rPr>
              <w:t>3</w:t>
            </w:r>
            <w:r w:rsidR="00A65607">
              <w:rPr>
                <w:b/>
                <w:sz w:val="22"/>
                <w:szCs w:val="22"/>
              </w:rPr>
              <w:t>0</w:t>
            </w:r>
            <w:r w:rsidR="00214C17">
              <w:rPr>
                <w:b/>
                <w:sz w:val="22"/>
                <w:szCs w:val="22"/>
              </w:rPr>
              <w:t>.</w:t>
            </w:r>
            <w:r w:rsidR="00730E5C">
              <w:rPr>
                <w:b/>
                <w:sz w:val="22"/>
                <w:szCs w:val="22"/>
              </w:rPr>
              <w:t>0</w:t>
            </w:r>
            <w:r w:rsidR="00260D94">
              <w:rPr>
                <w:b/>
                <w:sz w:val="22"/>
                <w:szCs w:val="22"/>
              </w:rPr>
              <w:t>9</w:t>
            </w:r>
            <w:r w:rsidR="00FA429A">
              <w:rPr>
                <w:b/>
                <w:sz w:val="22"/>
                <w:szCs w:val="22"/>
              </w:rPr>
              <w:t>.1</w:t>
            </w:r>
            <w:r w:rsidR="00730E5C">
              <w:rPr>
                <w:b/>
                <w:sz w:val="22"/>
                <w:szCs w:val="22"/>
              </w:rPr>
              <w:t>4</w:t>
            </w:r>
          </w:p>
        </w:tc>
        <w:tc>
          <w:tcPr>
            <w:tcW w:w="1350" w:type="dxa"/>
            <w:tcBorders>
              <w:top w:val="nil"/>
              <w:left w:val="nil"/>
              <w:bottom w:val="nil"/>
              <w:right w:val="nil"/>
            </w:tcBorders>
            <w:vAlign w:val="bottom"/>
          </w:tcPr>
          <w:p w:rsidR="00A22555" w:rsidRPr="00533668" w:rsidRDefault="00A22555" w:rsidP="00260D94">
            <w:pPr>
              <w:pStyle w:val="Header"/>
              <w:tabs>
                <w:tab w:val="clear" w:pos="4320"/>
                <w:tab w:val="clear" w:pos="8640"/>
              </w:tabs>
              <w:ind w:right="72"/>
              <w:jc w:val="center"/>
              <w:rPr>
                <w:b/>
                <w:sz w:val="22"/>
                <w:szCs w:val="22"/>
              </w:rPr>
            </w:pPr>
            <w:r>
              <w:rPr>
                <w:b/>
                <w:sz w:val="22"/>
                <w:szCs w:val="22"/>
              </w:rPr>
              <w:t>3</w:t>
            </w:r>
            <w:r w:rsidR="00A173D0">
              <w:rPr>
                <w:b/>
                <w:sz w:val="22"/>
                <w:szCs w:val="22"/>
              </w:rPr>
              <w:t>0</w:t>
            </w:r>
            <w:r w:rsidR="00214C17">
              <w:rPr>
                <w:b/>
                <w:sz w:val="22"/>
                <w:szCs w:val="22"/>
              </w:rPr>
              <w:t>.</w:t>
            </w:r>
            <w:r w:rsidR="00730E5C">
              <w:rPr>
                <w:b/>
                <w:sz w:val="22"/>
                <w:szCs w:val="22"/>
              </w:rPr>
              <w:t>0</w:t>
            </w:r>
            <w:r w:rsidR="00260D94">
              <w:rPr>
                <w:b/>
                <w:sz w:val="22"/>
                <w:szCs w:val="22"/>
              </w:rPr>
              <w:t>9</w:t>
            </w:r>
            <w:r w:rsidR="00FA429A">
              <w:rPr>
                <w:b/>
                <w:sz w:val="22"/>
                <w:szCs w:val="22"/>
              </w:rPr>
              <w:t>.</w:t>
            </w:r>
            <w:r w:rsidR="00660C00">
              <w:rPr>
                <w:b/>
                <w:sz w:val="22"/>
                <w:szCs w:val="22"/>
              </w:rPr>
              <w:t>1</w:t>
            </w:r>
            <w:r w:rsidR="00730E5C">
              <w:rPr>
                <w:b/>
                <w:sz w:val="22"/>
                <w:szCs w:val="22"/>
              </w:rPr>
              <w:t>3</w:t>
            </w:r>
          </w:p>
        </w:tc>
      </w:tr>
      <w:tr w:rsidR="00190E10" w:rsidRPr="00533668">
        <w:tblPrEx>
          <w:tblCellMar>
            <w:top w:w="0" w:type="dxa"/>
            <w:bottom w:w="0" w:type="dxa"/>
          </w:tblCellMar>
        </w:tblPrEx>
        <w:tc>
          <w:tcPr>
            <w:tcW w:w="2880" w:type="dxa"/>
            <w:tcBorders>
              <w:top w:val="nil"/>
              <w:left w:val="nil"/>
              <w:bottom w:val="nil"/>
              <w:right w:val="nil"/>
            </w:tcBorders>
            <w:vAlign w:val="bottom"/>
          </w:tcPr>
          <w:p w:rsidR="00190E10" w:rsidRPr="00533668" w:rsidRDefault="00190E10">
            <w:pPr>
              <w:jc w:val="both"/>
              <w:rPr>
                <w:b/>
                <w:sz w:val="22"/>
                <w:szCs w:val="22"/>
              </w:rPr>
            </w:pPr>
          </w:p>
        </w:tc>
        <w:tc>
          <w:tcPr>
            <w:tcW w:w="1170" w:type="dxa"/>
            <w:tcBorders>
              <w:top w:val="nil"/>
              <w:left w:val="nil"/>
              <w:bottom w:val="nil"/>
              <w:right w:val="nil"/>
            </w:tcBorders>
            <w:vAlign w:val="bottom"/>
          </w:tcPr>
          <w:p w:rsidR="00190E10" w:rsidRPr="00533668" w:rsidRDefault="00190E10">
            <w:pPr>
              <w:pStyle w:val="Header"/>
              <w:tabs>
                <w:tab w:val="clear" w:pos="4320"/>
                <w:tab w:val="clear" w:pos="8640"/>
              </w:tabs>
              <w:ind w:right="72"/>
              <w:jc w:val="center"/>
              <w:rPr>
                <w:b/>
                <w:sz w:val="22"/>
                <w:szCs w:val="22"/>
              </w:rPr>
            </w:pPr>
            <w:r w:rsidRPr="00533668">
              <w:rPr>
                <w:b/>
                <w:sz w:val="22"/>
                <w:szCs w:val="22"/>
              </w:rPr>
              <w:t>RM’000</w:t>
            </w:r>
          </w:p>
        </w:tc>
        <w:tc>
          <w:tcPr>
            <w:tcW w:w="1170" w:type="dxa"/>
            <w:tcBorders>
              <w:top w:val="nil"/>
              <w:left w:val="nil"/>
              <w:bottom w:val="nil"/>
              <w:right w:val="nil"/>
            </w:tcBorders>
          </w:tcPr>
          <w:p w:rsidR="00190E10" w:rsidRPr="00533668" w:rsidRDefault="00190E10">
            <w:pPr>
              <w:ind w:right="72"/>
              <w:jc w:val="center"/>
              <w:rPr>
                <w:b/>
                <w:sz w:val="22"/>
                <w:szCs w:val="22"/>
              </w:rPr>
            </w:pPr>
            <w:r w:rsidRPr="00533668">
              <w:rPr>
                <w:b/>
                <w:sz w:val="22"/>
                <w:szCs w:val="22"/>
              </w:rPr>
              <w:t>RM’000</w:t>
            </w:r>
          </w:p>
        </w:tc>
        <w:tc>
          <w:tcPr>
            <w:tcW w:w="270" w:type="dxa"/>
            <w:tcBorders>
              <w:top w:val="nil"/>
              <w:left w:val="nil"/>
              <w:bottom w:val="nil"/>
              <w:right w:val="nil"/>
            </w:tcBorders>
            <w:vAlign w:val="bottom"/>
          </w:tcPr>
          <w:p w:rsidR="00190E10" w:rsidRPr="00533668" w:rsidRDefault="00190E10">
            <w:pPr>
              <w:ind w:right="72"/>
              <w:jc w:val="center"/>
              <w:rPr>
                <w:b/>
                <w:sz w:val="22"/>
                <w:szCs w:val="22"/>
              </w:rPr>
            </w:pPr>
          </w:p>
        </w:tc>
        <w:tc>
          <w:tcPr>
            <w:tcW w:w="1350" w:type="dxa"/>
            <w:tcBorders>
              <w:top w:val="nil"/>
              <w:left w:val="nil"/>
              <w:bottom w:val="nil"/>
              <w:right w:val="nil"/>
            </w:tcBorders>
            <w:vAlign w:val="bottom"/>
          </w:tcPr>
          <w:p w:rsidR="00190E10" w:rsidRPr="00533668" w:rsidRDefault="00190E10">
            <w:pPr>
              <w:ind w:right="72"/>
              <w:jc w:val="center"/>
              <w:rPr>
                <w:b/>
                <w:sz w:val="22"/>
                <w:szCs w:val="22"/>
              </w:rPr>
            </w:pPr>
            <w:r w:rsidRPr="00533668">
              <w:rPr>
                <w:b/>
                <w:sz w:val="22"/>
                <w:szCs w:val="22"/>
              </w:rPr>
              <w:t>RM’000</w:t>
            </w:r>
          </w:p>
        </w:tc>
        <w:tc>
          <w:tcPr>
            <w:tcW w:w="1350" w:type="dxa"/>
            <w:tcBorders>
              <w:top w:val="nil"/>
              <w:left w:val="nil"/>
              <w:bottom w:val="nil"/>
              <w:right w:val="nil"/>
            </w:tcBorders>
            <w:vAlign w:val="bottom"/>
          </w:tcPr>
          <w:p w:rsidR="00190E10" w:rsidRPr="00533668" w:rsidRDefault="00190E10">
            <w:pPr>
              <w:pStyle w:val="Header"/>
              <w:tabs>
                <w:tab w:val="clear" w:pos="4320"/>
                <w:tab w:val="clear" w:pos="8640"/>
              </w:tabs>
              <w:ind w:right="72"/>
              <w:jc w:val="center"/>
              <w:rPr>
                <w:b/>
                <w:sz w:val="22"/>
                <w:szCs w:val="22"/>
              </w:rPr>
            </w:pPr>
            <w:r w:rsidRPr="00533668">
              <w:rPr>
                <w:b/>
                <w:sz w:val="22"/>
                <w:szCs w:val="22"/>
              </w:rPr>
              <w:t>RM’000</w:t>
            </w:r>
          </w:p>
        </w:tc>
      </w:tr>
      <w:tr w:rsidR="00190E10" w:rsidRPr="00533668">
        <w:tblPrEx>
          <w:tblCellMar>
            <w:top w:w="0" w:type="dxa"/>
            <w:bottom w:w="0" w:type="dxa"/>
          </w:tblCellMar>
        </w:tblPrEx>
        <w:tc>
          <w:tcPr>
            <w:tcW w:w="2880" w:type="dxa"/>
            <w:tcBorders>
              <w:top w:val="nil"/>
              <w:left w:val="nil"/>
              <w:bottom w:val="nil"/>
              <w:right w:val="nil"/>
            </w:tcBorders>
            <w:vAlign w:val="center"/>
          </w:tcPr>
          <w:p w:rsidR="00190E10" w:rsidRPr="00533668" w:rsidRDefault="00190E10" w:rsidP="00A425CD">
            <w:pPr>
              <w:ind w:left="392"/>
              <w:rPr>
                <w:sz w:val="22"/>
                <w:szCs w:val="22"/>
              </w:rPr>
            </w:pPr>
            <w:r w:rsidRPr="00533668">
              <w:rPr>
                <w:sz w:val="22"/>
                <w:szCs w:val="22"/>
              </w:rPr>
              <w:t xml:space="preserve">In respect of the financial </w:t>
            </w:r>
            <w:r w:rsidR="00A425CD" w:rsidRPr="00533668">
              <w:rPr>
                <w:sz w:val="22"/>
                <w:szCs w:val="22"/>
              </w:rPr>
              <w:t xml:space="preserve">   period          </w:t>
            </w:r>
          </w:p>
        </w:tc>
        <w:tc>
          <w:tcPr>
            <w:tcW w:w="1170" w:type="dxa"/>
            <w:tcBorders>
              <w:top w:val="nil"/>
              <w:left w:val="nil"/>
              <w:bottom w:val="single" w:sz="4" w:space="0" w:color="auto"/>
              <w:right w:val="nil"/>
            </w:tcBorders>
            <w:vAlign w:val="center"/>
          </w:tcPr>
          <w:p w:rsidR="00190E10" w:rsidRPr="00533668" w:rsidRDefault="00190E10">
            <w:pPr>
              <w:pStyle w:val="Header"/>
              <w:tabs>
                <w:tab w:val="clear" w:pos="4320"/>
                <w:tab w:val="clear" w:pos="8640"/>
                <w:tab w:val="decimal" w:pos="882"/>
              </w:tabs>
              <w:ind w:right="28"/>
              <w:jc w:val="both"/>
              <w:rPr>
                <w:sz w:val="22"/>
                <w:szCs w:val="22"/>
              </w:rPr>
            </w:pPr>
          </w:p>
        </w:tc>
        <w:tc>
          <w:tcPr>
            <w:tcW w:w="1170" w:type="dxa"/>
            <w:tcBorders>
              <w:top w:val="nil"/>
              <w:left w:val="nil"/>
              <w:bottom w:val="single" w:sz="4" w:space="0" w:color="auto"/>
              <w:right w:val="nil"/>
            </w:tcBorders>
          </w:tcPr>
          <w:p w:rsidR="00190E10" w:rsidRPr="00A65607" w:rsidRDefault="00190E10">
            <w:pPr>
              <w:jc w:val="both"/>
              <w:rPr>
                <w:sz w:val="22"/>
                <w:szCs w:val="22"/>
                <w:highlight w:val="yellow"/>
              </w:rPr>
            </w:pPr>
          </w:p>
        </w:tc>
        <w:tc>
          <w:tcPr>
            <w:tcW w:w="270" w:type="dxa"/>
            <w:tcBorders>
              <w:top w:val="nil"/>
              <w:left w:val="nil"/>
              <w:bottom w:val="nil"/>
              <w:right w:val="nil"/>
            </w:tcBorders>
            <w:vAlign w:val="center"/>
          </w:tcPr>
          <w:p w:rsidR="00190E10" w:rsidRPr="00A65607" w:rsidRDefault="00190E10">
            <w:pPr>
              <w:jc w:val="both"/>
              <w:rPr>
                <w:sz w:val="22"/>
                <w:szCs w:val="22"/>
                <w:highlight w:val="yellow"/>
              </w:rPr>
            </w:pPr>
          </w:p>
        </w:tc>
        <w:tc>
          <w:tcPr>
            <w:tcW w:w="1350" w:type="dxa"/>
            <w:tcBorders>
              <w:top w:val="nil"/>
              <w:left w:val="nil"/>
              <w:bottom w:val="single" w:sz="4" w:space="0" w:color="auto"/>
              <w:right w:val="nil"/>
            </w:tcBorders>
            <w:vAlign w:val="center"/>
          </w:tcPr>
          <w:p w:rsidR="00190E10" w:rsidRPr="00A65607" w:rsidRDefault="00190E10">
            <w:pPr>
              <w:jc w:val="both"/>
              <w:rPr>
                <w:sz w:val="22"/>
                <w:szCs w:val="22"/>
                <w:highlight w:val="yellow"/>
              </w:rPr>
            </w:pPr>
          </w:p>
        </w:tc>
        <w:tc>
          <w:tcPr>
            <w:tcW w:w="1350" w:type="dxa"/>
            <w:tcBorders>
              <w:top w:val="nil"/>
              <w:left w:val="nil"/>
              <w:bottom w:val="single" w:sz="4" w:space="0" w:color="auto"/>
              <w:right w:val="nil"/>
            </w:tcBorders>
            <w:vAlign w:val="center"/>
          </w:tcPr>
          <w:p w:rsidR="00190E10" w:rsidRPr="00A65607" w:rsidRDefault="00190E10">
            <w:pPr>
              <w:pStyle w:val="Header"/>
              <w:tabs>
                <w:tab w:val="clear" w:pos="4320"/>
                <w:tab w:val="clear" w:pos="8640"/>
                <w:tab w:val="decimal" w:pos="916"/>
              </w:tabs>
              <w:ind w:right="-6"/>
              <w:jc w:val="both"/>
              <w:rPr>
                <w:sz w:val="22"/>
                <w:szCs w:val="22"/>
                <w:highlight w:val="yellow"/>
              </w:rPr>
            </w:pPr>
          </w:p>
        </w:tc>
      </w:tr>
      <w:tr w:rsidR="00190E10" w:rsidRPr="000023CE" w:rsidTr="00A65607">
        <w:tblPrEx>
          <w:tblCellMar>
            <w:top w:w="0" w:type="dxa"/>
            <w:bottom w:w="0" w:type="dxa"/>
          </w:tblCellMar>
        </w:tblPrEx>
        <w:trPr>
          <w:trHeight w:val="251"/>
        </w:trPr>
        <w:tc>
          <w:tcPr>
            <w:tcW w:w="2880" w:type="dxa"/>
            <w:tcBorders>
              <w:top w:val="nil"/>
              <w:left w:val="nil"/>
              <w:bottom w:val="nil"/>
              <w:right w:val="single" w:sz="4" w:space="0" w:color="auto"/>
            </w:tcBorders>
            <w:vAlign w:val="center"/>
          </w:tcPr>
          <w:p w:rsidR="00190E10" w:rsidRPr="000023CE" w:rsidRDefault="00190E10" w:rsidP="00A425CD">
            <w:pPr>
              <w:tabs>
                <w:tab w:val="left" w:pos="392"/>
              </w:tabs>
              <w:ind w:left="212" w:hanging="122"/>
              <w:jc w:val="both"/>
              <w:rPr>
                <w:sz w:val="22"/>
                <w:szCs w:val="22"/>
              </w:rPr>
            </w:pPr>
            <w:r w:rsidRPr="00533668">
              <w:rPr>
                <w:sz w:val="22"/>
                <w:szCs w:val="22"/>
              </w:rPr>
              <w:t xml:space="preserve">  </w:t>
            </w:r>
            <w:r w:rsidR="00A425CD" w:rsidRPr="00533668">
              <w:rPr>
                <w:sz w:val="22"/>
                <w:szCs w:val="22"/>
              </w:rPr>
              <w:t xml:space="preserve">   </w:t>
            </w:r>
            <w:r w:rsidRPr="000023CE">
              <w:rPr>
                <w:sz w:val="22"/>
                <w:szCs w:val="22"/>
              </w:rPr>
              <w:t>Malaysian income tax</w:t>
            </w:r>
          </w:p>
        </w:tc>
        <w:tc>
          <w:tcPr>
            <w:tcW w:w="1170" w:type="dxa"/>
            <w:tcBorders>
              <w:top w:val="single" w:sz="4" w:space="0" w:color="auto"/>
              <w:left w:val="single" w:sz="4" w:space="0" w:color="auto"/>
              <w:bottom w:val="nil"/>
              <w:right w:val="nil"/>
            </w:tcBorders>
            <w:vAlign w:val="center"/>
          </w:tcPr>
          <w:p w:rsidR="00190E10" w:rsidRPr="000023CE" w:rsidRDefault="00492921" w:rsidP="00492921">
            <w:pPr>
              <w:pStyle w:val="Header"/>
              <w:tabs>
                <w:tab w:val="clear" w:pos="4320"/>
                <w:tab w:val="clear" w:pos="8640"/>
                <w:tab w:val="decimal" w:pos="882"/>
              </w:tabs>
              <w:ind w:right="28"/>
              <w:jc w:val="both"/>
              <w:rPr>
                <w:sz w:val="22"/>
                <w:szCs w:val="22"/>
              </w:rPr>
            </w:pPr>
            <w:r>
              <w:rPr>
                <w:sz w:val="22"/>
                <w:szCs w:val="22"/>
              </w:rPr>
              <w:t>(1,430)</w:t>
            </w:r>
          </w:p>
        </w:tc>
        <w:tc>
          <w:tcPr>
            <w:tcW w:w="1170" w:type="dxa"/>
            <w:tcBorders>
              <w:top w:val="single" w:sz="4" w:space="0" w:color="auto"/>
              <w:left w:val="nil"/>
              <w:bottom w:val="nil"/>
              <w:right w:val="single" w:sz="4" w:space="0" w:color="auto"/>
            </w:tcBorders>
            <w:vAlign w:val="center"/>
          </w:tcPr>
          <w:p w:rsidR="00190E10" w:rsidRPr="000023CE" w:rsidRDefault="00762131" w:rsidP="000E1B90">
            <w:pPr>
              <w:pStyle w:val="Header"/>
              <w:tabs>
                <w:tab w:val="clear" w:pos="4320"/>
                <w:tab w:val="clear" w:pos="8640"/>
                <w:tab w:val="decimal" w:pos="882"/>
              </w:tabs>
              <w:ind w:right="28"/>
              <w:jc w:val="both"/>
              <w:rPr>
                <w:sz w:val="22"/>
                <w:szCs w:val="22"/>
              </w:rPr>
            </w:pPr>
            <w:r w:rsidRPr="000023CE">
              <w:rPr>
                <w:sz w:val="22"/>
                <w:szCs w:val="22"/>
              </w:rPr>
              <w:t>-</w:t>
            </w:r>
          </w:p>
        </w:tc>
        <w:tc>
          <w:tcPr>
            <w:tcW w:w="270" w:type="dxa"/>
            <w:tcBorders>
              <w:top w:val="nil"/>
              <w:left w:val="single" w:sz="4" w:space="0" w:color="auto"/>
              <w:bottom w:val="nil"/>
              <w:right w:val="single" w:sz="4" w:space="0" w:color="auto"/>
            </w:tcBorders>
            <w:vAlign w:val="center"/>
          </w:tcPr>
          <w:p w:rsidR="00190E10" w:rsidRPr="000023CE" w:rsidRDefault="00190E10">
            <w:pPr>
              <w:ind w:right="144"/>
              <w:jc w:val="both"/>
              <w:rPr>
                <w:sz w:val="22"/>
                <w:szCs w:val="22"/>
              </w:rPr>
            </w:pPr>
          </w:p>
        </w:tc>
        <w:tc>
          <w:tcPr>
            <w:tcW w:w="1350" w:type="dxa"/>
            <w:tcBorders>
              <w:top w:val="single" w:sz="4" w:space="0" w:color="auto"/>
              <w:left w:val="single" w:sz="4" w:space="0" w:color="auto"/>
              <w:bottom w:val="nil"/>
              <w:right w:val="nil"/>
            </w:tcBorders>
            <w:vAlign w:val="center"/>
          </w:tcPr>
          <w:p w:rsidR="00A22555" w:rsidRPr="000023CE" w:rsidRDefault="00492921" w:rsidP="001C1FD5">
            <w:pPr>
              <w:pStyle w:val="Header"/>
              <w:tabs>
                <w:tab w:val="clear" w:pos="4320"/>
                <w:tab w:val="clear" w:pos="8640"/>
                <w:tab w:val="decimal" w:pos="882"/>
              </w:tabs>
              <w:ind w:right="28"/>
              <w:jc w:val="both"/>
              <w:rPr>
                <w:sz w:val="22"/>
                <w:szCs w:val="22"/>
              </w:rPr>
            </w:pPr>
            <w:r>
              <w:rPr>
                <w:sz w:val="22"/>
                <w:szCs w:val="22"/>
              </w:rPr>
              <w:t>(1,430)</w:t>
            </w:r>
          </w:p>
        </w:tc>
        <w:tc>
          <w:tcPr>
            <w:tcW w:w="1350" w:type="dxa"/>
            <w:tcBorders>
              <w:top w:val="single" w:sz="4" w:space="0" w:color="auto"/>
              <w:left w:val="nil"/>
              <w:bottom w:val="nil"/>
              <w:right w:val="single" w:sz="4" w:space="0" w:color="auto"/>
            </w:tcBorders>
            <w:vAlign w:val="center"/>
          </w:tcPr>
          <w:p w:rsidR="00190E10" w:rsidRPr="000023CE" w:rsidRDefault="00762131" w:rsidP="000E1B90">
            <w:pPr>
              <w:pStyle w:val="Header"/>
              <w:tabs>
                <w:tab w:val="clear" w:pos="4320"/>
                <w:tab w:val="clear" w:pos="8640"/>
                <w:tab w:val="decimal" w:pos="882"/>
              </w:tabs>
              <w:ind w:right="28"/>
              <w:jc w:val="both"/>
              <w:rPr>
                <w:sz w:val="22"/>
                <w:szCs w:val="22"/>
              </w:rPr>
            </w:pPr>
            <w:r w:rsidRPr="000023CE">
              <w:rPr>
                <w:sz w:val="22"/>
                <w:szCs w:val="22"/>
              </w:rPr>
              <w:t>-</w:t>
            </w:r>
          </w:p>
        </w:tc>
      </w:tr>
      <w:tr w:rsidR="00190E10" w:rsidRPr="000023CE">
        <w:tblPrEx>
          <w:tblCellMar>
            <w:top w:w="0" w:type="dxa"/>
            <w:bottom w:w="0" w:type="dxa"/>
          </w:tblCellMar>
        </w:tblPrEx>
        <w:trPr>
          <w:trHeight w:val="603"/>
        </w:trPr>
        <w:tc>
          <w:tcPr>
            <w:tcW w:w="2880" w:type="dxa"/>
            <w:tcBorders>
              <w:top w:val="nil"/>
              <w:left w:val="nil"/>
              <w:bottom w:val="nil"/>
              <w:right w:val="single" w:sz="4" w:space="0" w:color="auto"/>
            </w:tcBorders>
            <w:vAlign w:val="center"/>
          </w:tcPr>
          <w:p w:rsidR="00190E10" w:rsidRPr="000023CE" w:rsidRDefault="00190E10">
            <w:pPr>
              <w:ind w:left="212" w:hanging="180"/>
              <w:rPr>
                <w:sz w:val="22"/>
                <w:szCs w:val="22"/>
              </w:rPr>
            </w:pPr>
          </w:p>
          <w:p w:rsidR="00190E10" w:rsidRPr="000023CE" w:rsidRDefault="00A425CD">
            <w:pPr>
              <w:ind w:firstLine="212"/>
              <w:rPr>
                <w:sz w:val="22"/>
                <w:szCs w:val="22"/>
              </w:rPr>
            </w:pPr>
            <w:r w:rsidRPr="000023CE">
              <w:rPr>
                <w:sz w:val="22"/>
                <w:szCs w:val="22"/>
              </w:rPr>
              <w:t xml:space="preserve">   </w:t>
            </w:r>
            <w:r w:rsidR="00190E10" w:rsidRPr="000023CE">
              <w:rPr>
                <w:sz w:val="22"/>
                <w:szCs w:val="22"/>
              </w:rPr>
              <w:t>Deferred tax</w:t>
            </w:r>
          </w:p>
        </w:tc>
        <w:tc>
          <w:tcPr>
            <w:tcW w:w="1170" w:type="dxa"/>
            <w:tcBorders>
              <w:top w:val="nil"/>
              <w:left w:val="single" w:sz="4" w:space="0" w:color="auto"/>
              <w:bottom w:val="single" w:sz="4" w:space="0" w:color="auto"/>
              <w:right w:val="nil"/>
            </w:tcBorders>
            <w:vAlign w:val="center"/>
          </w:tcPr>
          <w:p w:rsidR="00190E10" w:rsidRPr="000023CE" w:rsidRDefault="00762131" w:rsidP="00730E5C">
            <w:pPr>
              <w:pStyle w:val="Header"/>
              <w:tabs>
                <w:tab w:val="clear" w:pos="4320"/>
                <w:tab w:val="clear" w:pos="8640"/>
                <w:tab w:val="decimal" w:pos="882"/>
              </w:tabs>
              <w:ind w:right="28"/>
              <w:jc w:val="both"/>
              <w:rPr>
                <w:sz w:val="22"/>
                <w:szCs w:val="22"/>
              </w:rPr>
            </w:pPr>
            <w:r w:rsidRPr="000023CE">
              <w:rPr>
                <w:sz w:val="22"/>
                <w:szCs w:val="22"/>
              </w:rPr>
              <w:t xml:space="preserve">  </w:t>
            </w:r>
            <w:r w:rsidR="000023CE" w:rsidRPr="000023CE">
              <w:rPr>
                <w:sz w:val="22"/>
                <w:szCs w:val="22"/>
              </w:rPr>
              <w:t>-</w:t>
            </w:r>
          </w:p>
        </w:tc>
        <w:tc>
          <w:tcPr>
            <w:tcW w:w="1170" w:type="dxa"/>
            <w:tcBorders>
              <w:top w:val="nil"/>
              <w:left w:val="nil"/>
              <w:bottom w:val="single" w:sz="4" w:space="0" w:color="auto"/>
              <w:right w:val="single" w:sz="4" w:space="0" w:color="auto"/>
            </w:tcBorders>
            <w:vAlign w:val="center"/>
          </w:tcPr>
          <w:p w:rsidR="00190E10" w:rsidRPr="000023CE" w:rsidRDefault="000023CE" w:rsidP="000023CE">
            <w:pPr>
              <w:pStyle w:val="Header"/>
              <w:tabs>
                <w:tab w:val="clear" w:pos="4320"/>
                <w:tab w:val="clear" w:pos="8640"/>
                <w:tab w:val="decimal" w:pos="882"/>
              </w:tabs>
              <w:ind w:right="28"/>
              <w:jc w:val="both"/>
              <w:rPr>
                <w:sz w:val="22"/>
                <w:szCs w:val="22"/>
              </w:rPr>
            </w:pPr>
            <w:r w:rsidRPr="000023CE">
              <w:rPr>
                <w:sz w:val="22"/>
                <w:szCs w:val="22"/>
              </w:rPr>
              <w:t>-</w:t>
            </w:r>
          </w:p>
        </w:tc>
        <w:tc>
          <w:tcPr>
            <w:tcW w:w="270" w:type="dxa"/>
            <w:tcBorders>
              <w:top w:val="nil"/>
              <w:left w:val="single" w:sz="4" w:space="0" w:color="auto"/>
              <w:bottom w:val="nil"/>
              <w:right w:val="single" w:sz="4" w:space="0" w:color="auto"/>
            </w:tcBorders>
            <w:vAlign w:val="center"/>
          </w:tcPr>
          <w:p w:rsidR="00190E10" w:rsidRPr="000023CE" w:rsidRDefault="00190E10">
            <w:pPr>
              <w:ind w:left="252" w:right="144"/>
              <w:jc w:val="both"/>
              <w:rPr>
                <w:sz w:val="22"/>
                <w:szCs w:val="22"/>
              </w:rPr>
            </w:pPr>
          </w:p>
        </w:tc>
        <w:tc>
          <w:tcPr>
            <w:tcW w:w="1350" w:type="dxa"/>
            <w:tcBorders>
              <w:top w:val="nil"/>
              <w:left w:val="single" w:sz="4" w:space="0" w:color="auto"/>
              <w:bottom w:val="single" w:sz="4" w:space="0" w:color="auto"/>
              <w:right w:val="nil"/>
            </w:tcBorders>
            <w:vAlign w:val="center"/>
          </w:tcPr>
          <w:p w:rsidR="00190E10" w:rsidRPr="000023CE" w:rsidRDefault="00762131" w:rsidP="00730E5C">
            <w:pPr>
              <w:pStyle w:val="Header"/>
              <w:tabs>
                <w:tab w:val="clear" w:pos="4320"/>
                <w:tab w:val="clear" w:pos="8640"/>
                <w:tab w:val="decimal" w:pos="882"/>
              </w:tabs>
              <w:ind w:right="28"/>
              <w:jc w:val="both"/>
              <w:rPr>
                <w:sz w:val="22"/>
                <w:szCs w:val="22"/>
              </w:rPr>
            </w:pPr>
            <w:r w:rsidRPr="000023CE">
              <w:rPr>
                <w:sz w:val="22"/>
                <w:szCs w:val="22"/>
              </w:rPr>
              <w:t>-</w:t>
            </w:r>
          </w:p>
        </w:tc>
        <w:tc>
          <w:tcPr>
            <w:tcW w:w="1350" w:type="dxa"/>
            <w:tcBorders>
              <w:top w:val="nil"/>
              <w:left w:val="nil"/>
              <w:bottom w:val="single" w:sz="4" w:space="0" w:color="auto"/>
              <w:right w:val="single" w:sz="4" w:space="0" w:color="auto"/>
            </w:tcBorders>
            <w:vAlign w:val="center"/>
          </w:tcPr>
          <w:p w:rsidR="00190E10" w:rsidRPr="000023CE" w:rsidRDefault="00A173D0" w:rsidP="000023CE">
            <w:pPr>
              <w:pStyle w:val="Header"/>
              <w:tabs>
                <w:tab w:val="clear" w:pos="4320"/>
                <w:tab w:val="clear" w:pos="8640"/>
                <w:tab w:val="decimal" w:pos="882"/>
              </w:tabs>
              <w:ind w:right="28"/>
              <w:jc w:val="both"/>
              <w:rPr>
                <w:sz w:val="22"/>
                <w:szCs w:val="22"/>
              </w:rPr>
            </w:pPr>
            <w:r>
              <w:rPr>
                <w:sz w:val="22"/>
                <w:szCs w:val="22"/>
              </w:rPr>
              <w:t>(275)</w:t>
            </w:r>
          </w:p>
        </w:tc>
      </w:tr>
      <w:tr w:rsidR="00190E10" w:rsidRPr="00533668" w:rsidTr="00730E5C">
        <w:tblPrEx>
          <w:tblCellMar>
            <w:top w:w="0" w:type="dxa"/>
            <w:bottom w:w="0" w:type="dxa"/>
          </w:tblCellMar>
        </w:tblPrEx>
        <w:trPr>
          <w:trHeight w:val="161"/>
        </w:trPr>
        <w:tc>
          <w:tcPr>
            <w:tcW w:w="2880" w:type="dxa"/>
            <w:tcBorders>
              <w:top w:val="nil"/>
              <w:left w:val="nil"/>
              <w:bottom w:val="nil"/>
              <w:right w:val="nil"/>
            </w:tcBorders>
            <w:vAlign w:val="center"/>
          </w:tcPr>
          <w:p w:rsidR="00190E10" w:rsidRPr="000023CE" w:rsidRDefault="00190E10">
            <w:pPr>
              <w:ind w:left="212"/>
              <w:jc w:val="both"/>
              <w:rPr>
                <w:sz w:val="22"/>
                <w:szCs w:val="22"/>
              </w:rPr>
            </w:pPr>
          </w:p>
        </w:tc>
        <w:tc>
          <w:tcPr>
            <w:tcW w:w="1170" w:type="dxa"/>
            <w:tcBorders>
              <w:top w:val="single" w:sz="4" w:space="0" w:color="auto"/>
              <w:left w:val="nil"/>
              <w:bottom w:val="single" w:sz="4" w:space="0" w:color="auto"/>
              <w:right w:val="nil"/>
            </w:tcBorders>
            <w:vAlign w:val="center"/>
          </w:tcPr>
          <w:p w:rsidR="00190E10" w:rsidRPr="000023CE" w:rsidRDefault="00492921" w:rsidP="00C751D6">
            <w:pPr>
              <w:pStyle w:val="Header"/>
              <w:tabs>
                <w:tab w:val="clear" w:pos="4320"/>
                <w:tab w:val="clear" w:pos="8640"/>
                <w:tab w:val="decimal" w:pos="882"/>
              </w:tabs>
              <w:ind w:right="28"/>
              <w:jc w:val="both"/>
              <w:rPr>
                <w:sz w:val="22"/>
                <w:szCs w:val="22"/>
              </w:rPr>
            </w:pPr>
            <w:r>
              <w:rPr>
                <w:sz w:val="22"/>
                <w:szCs w:val="22"/>
              </w:rPr>
              <w:t>(1,430)</w:t>
            </w:r>
          </w:p>
        </w:tc>
        <w:tc>
          <w:tcPr>
            <w:tcW w:w="1170" w:type="dxa"/>
            <w:tcBorders>
              <w:top w:val="single" w:sz="4" w:space="0" w:color="auto"/>
              <w:left w:val="nil"/>
              <w:bottom w:val="single" w:sz="4" w:space="0" w:color="auto"/>
              <w:right w:val="nil"/>
            </w:tcBorders>
            <w:vAlign w:val="center"/>
          </w:tcPr>
          <w:p w:rsidR="00190E10" w:rsidRPr="000023CE" w:rsidRDefault="000023CE" w:rsidP="000023CE">
            <w:pPr>
              <w:pStyle w:val="Header"/>
              <w:tabs>
                <w:tab w:val="clear" w:pos="4320"/>
                <w:tab w:val="clear" w:pos="8640"/>
                <w:tab w:val="decimal" w:pos="882"/>
              </w:tabs>
              <w:ind w:right="28"/>
              <w:jc w:val="both"/>
              <w:rPr>
                <w:sz w:val="22"/>
                <w:szCs w:val="22"/>
              </w:rPr>
            </w:pPr>
            <w:r w:rsidRPr="000023CE">
              <w:rPr>
                <w:sz w:val="22"/>
                <w:szCs w:val="22"/>
              </w:rPr>
              <w:t>-</w:t>
            </w:r>
          </w:p>
        </w:tc>
        <w:tc>
          <w:tcPr>
            <w:tcW w:w="270" w:type="dxa"/>
            <w:tcBorders>
              <w:top w:val="nil"/>
              <w:left w:val="nil"/>
              <w:bottom w:val="nil"/>
              <w:right w:val="nil"/>
            </w:tcBorders>
            <w:vAlign w:val="center"/>
          </w:tcPr>
          <w:p w:rsidR="00190E10" w:rsidRPr="000023CE" w:rsidRDefault="00190E10">
            <w:pPr>
              <w:ind w:right="144"/>
              <w:jc w:val="both"/>
              <w:rPr>
                <w:sz w:val="22"/>
                <w:szCs w:val="22"/>
              </w:rPr>
            </w:pPr>
          </w:p>
        </w:tc>
        <w:tc>
          <w:tcPr>
            <w:tcW w:w="1350" w:type="dxa"/>
            <w:tcBorders>
              <w:top w:val="single" w:sz="4" w:space="0" w:color="auto"/>
              <w:left w:val="nil"/>
              <w:bottom w:val="single" w:sz="4" w:space="0" w:color="auto"/>
              <w:right w:val="nil"/>
            </w:tcBorders>
            <w:vAlign w:val="center"/>
          </w:tcPr>
          <w:p w:rsidR="00190E10" w:rsidRPr="000023CE" w:rsidRDefault="00492921" w:rsidP="00544028">
            <w:pPr>
              <w:pStyle w:val="Header"/>
              <w:tabs>
                <w:tab w:val="clear" w:pos="4320"/>
                <w:tab w:val="clear" w:pos="8640"/>
                <w:tab w:val="decimal" w:pos="882"/>
              </w:tabs>
              <w:ind w:right="28"/>
              <w:jc w:val="both"/>
              <w:rPr>
                <w:sz w:val="22"/>
                <w:szCs w:val="22"/>
              </w:rPr>
            </w:pPr>
            <w:r>
              <w:rPr>
                <w:sz w:val="22"/>
                <w:szCs w:val="22"/>
              </w:rPr>
              <w:t>(1,430)</w:t>
            </w:r>
          </w:p>
        </w:tc>
        <w:tc>
          <w:tcPr>
            <w:tcW w:w="1350" w:type="dxa"/>
            <w:tcBorders>
              <w:top w:val="single" w:sz="4" w:space="0" w:color="auto"/>
              <w:left w:val="nil"/>
              <w:bottom w:val="single" w:sz="4" w:space="0" w:color="auto"/>
              <w:right w:val="nil"/>
            </w:tcBorders>
            <w:vAlign w:val="center"/>
          </w:tcPr>
          <w:p w:rsidR="00190E10" w:rsidRPr="000023CE" w:rsidRDefault="00A173D0" w:rsidP="000023CE">
            <w:pPr>
              <w:pStyle w:val="Header"/>
              <w:tabs>
                <w:tab w:val="clear" w:pos="4320"/>
                <w:tab w:val="clear" w:pos="8640"/>
                <w:tab w:val="decimal" w:pos="882"/>
              </w:tabs>
              <w:ind w:right="28"/>
              <w:jc w:val="both"/>
              <w:rPr>
                <w:sz w:val="22"/>
                <w:szCs w:val="22"/>
              </w:rPr>
            </w:pPr>
            <w:r>
              <w:rPr>
                <w:sz w:val="22"/>
                <w:szCs w:val="22"/>
              </w:rPr>
              <w:t>(275)</w:t>
            </w:r>
          </w:p>
        </w:tc>
      </w:tr>
    </w:tbl>
    <w:p w:rsidR="007455CC" w:rsidRDefault="007455CC">
      <w:pPr>
        <w:jc w:val="both"/>
        <w:rPr>
          <w:sz w:val="22"/>
          <w:szCs w:val="22"/>
        </w:rPr>
      </w:pPr>
    </w:p>
    <w:p w:rsidR="009E65F1" w:rsidRDefault="009E65F1">
      <w:pPr>
        <w:jc w:val="both"/>
        <w:rPr>
          <w:sz w:val="22"/>
          <w:szCs w:val="22"/>
        </w:rPr>
      </w:pPr>
    </w:p>
    <w:p w:rsidR="00190E10" w:rsidRPr="009A41C5" w:rsidRDefault="00190E10">
      <w:pPr>
        <w:pStyle w:val="Heading1"/>
        <w:tabs>
          <w:tab w:val="left" w:pos="360"/>
        </w:tabs>
        <w:rPr>
          <w:szCs w:val="22"/>
        </w:rPr>
      </w:pPr>
      <w:r w:rsidRPr="00EA138D">
        <w:rPr>
          <w:szCs w:val="22"/>
        </w:rPr>
        <w:t>B</w:t>
      </w:r>
      <w:r w:rsidR="00B77B9B">
        <w:rPr>
          <w:szCs w:val="22"/>
        </w:rPr>
        <w:t>7</w:t>
      </w:r>
      <w:r w:rsidRPr="00EA138D">
        <w:rPr>
          <w:szCs w:val="22"/>
        </w:rPr>
        <w:t>.</w:t>
      </w:r>
      <w:r w:rsidRPr="00EA138D">
        <w:rPr>
          <w:szCs w:val="22"/>
        </w:rPr>
        <w:tab/>
      </w:r>
      <w:r w:rsidRPr="00EA138D">
        <w:rPr>
          <w:szCs w:val="22"/>
        </w:rPr>
        <w:tab/>
      </w:r>
      <w:r w:rsidRPr="009A41C5">
        <w:rPr>
          <w:szCs w:val="22"/>
        </w:rPr>
        <w:t xml:space="preserve">Status Of Corporate Proposals </w:t>
      </w:r>
      <w:r w:rsidR="00FA325B" w:rsidRPr="009A41C5">
        <w:rPr>
          <w:szCs w:val="22"/>
        </w:rPr>
        <w:t xml:space="preserve"> </w:t>
      </w:r>
    </w:p>
    <w:p w:rsidR="00D87D47" w:rsidRPr="009A41C5" w:rsidRDefault="00D87D47" w:rsidP="00D87D47">
      <w:pPr>
        <w:ind w:left="720"/>
        <w:jc w:val="both"/>
        <w:rPr>
          <w:sz w:val="22"/>
          <w:szCs w:val="22"/>
        </w:rPr>
      </w:pPr>
    </w:p>
    <w:p w:rsidR="00B96BB4" w:rsidRPr="009A41C5" w:rsidRDefault="00996927" w:rsidP="00996927">
      <w:pPr>
        <w:ind w:left="720"/>
        <w:jc w:val="both"/>
        <w:rPr>
          <w:sz w:val="22"/>
          <w:szCs w:val="22"/>
        </w:rPr>
      </w:pPr>
      <w:r w:rsidRPr="00EA138D">
        <w:rPr>
          <w:sz w:val="22"/>
          <w:szCs w:val="22"/>
        </w:rPr>
        <w:t xml:space="preserve">There were no corporate proposals announced but not completed as </w:t>
      </w:r>
      <w:r w:rsidRPr="00492921">
        <w:rPr>
          <w:sz w:val="22"/>
          <w:szCs w:val="22"/>
        </w:rPr>
        <w:t xml:space="preserve">at </w:t>
      </w:r>
      <w:r w:rsidR="00F965DD" w:rsidRPr="00492921">
        <w:rPr>
          <w:sz w:val="22"/>
          <w:szCs w:val="22"/>
        </w:rPr>
        <w:t>2</w:t>
      </w:r>
      <w:r w:rsidR="00492921" w:rsidRPr="00492921">
        <w:rPr>
          <w:sz w:val="22"/>
          <w:szCs w:val="22"/>
        </w:rPr>
        <w:t>1</w:t>
      </w:r>
      <w:r w:rsidRPr="00492921">
        <w:rPr>
          <w:sz w:val="22"/>
          <w:szCs w:val="22"/>
        </w:rPr>
        <w:t xml:space="preserve"> </w:t>
      </w:r>
      <w:r w:rsidR="000B765D" w:rsidRPr="00492921">
        <w:rPr>
          <w:sz w:val="22"/>
          <w:szCs w:val="22"/>
        </w:rPr>
        <w:t>November</w:t>
      </w:r>
      <w:r w:rsidR="00544028" w:rsidRPr="008725A8">
        <w:rPr>
          <w:sz w:val="22"/>
          <w:szCs w:val="22"/>
        </w:rPr>
        <w:t xml:space="preserve"> 2014</w:t>
      </w:r>
      <w:r w:rsidRPr="008725A8">
        <w:rPr>
          <w:sz w:val="22"/>
          <w:szCs w:val="22"/>
        </w:rPr>
        <w:t>.</w:t>
      </w:r>
      <w:r w:rsidRPr="00EA138D">
        <w:rPr>
          <w:sz w:val="22"/>
          <w:szCs w:val="22"/>
        </w:rPr>
        <w:t xml:space="preserve"> </w:t>
      </w:r>
    </w:p>
    <w:p w:rsidR="00197D64" w:rsidRPr="009A41C5" w:rsidRDefault="00197D64" w:rsidP="00197D64">
      <w:pPr>
        <w:ind w:left="1440"/>
        <w:jc w:val="both"/>
        <w:rPr>
          <w:sz w:val="22"/>
          <w:szCs w:val="22"/>
        </w:rPr>
      </w:pPr>
    </w:p>
    <w:p w:rsidR="007455CC" w:rsidRPr="009A41C5" w:rsidRDefault="007455CC">
      <w:pPr>
        <w:tabs>
          <w:tab w:val="left" w:pos="360"/>
        </w:tabs>
        <w:ind w:left="720" w:hanging="720"/>
        <w:jc w:val="both"/>
        <w:rPr>
          <w:b/>
          <w:sz w:val="22"/>
          <w:szCs w:val="22"/>
        </w:rPr>
      </w:pPr>
    </w:p>
    <w:p w:rsidR="00190E10" w:rsidRPr="00533668" w:rsidRDefault="00190E10">
      <w:pPr>
        <w:tabs>
          <w:tab w:val="left" w:pos="360"/>
        </w:tabs>
        <w:jc w:val="both"/>
        <w:rPr>
          <w:b/>
          <w:sz w:val="22"/>
          <w:szCs w:val="22"/>
        </w:rPr>
      </w:pPr>
      <w:r w:rsidRPr="009A41C5">
        <w:rPr>
          <w:b/>
          <w:sz w:val="22"/>
          <w:szCs w:val="22"/>
        </w:rPr>
        <w:t>B</w:t>
      </w:r>
      <w:r w:rsidR="00B77B9B" w:rsidRPr="009A41C5">
        <w:rPr>
          <w:b/>
          <w:sz w:val="22"/>
          <w:szCs w:val="22"/>
        </w:rPr>
        <w:t>8</w:t>
      </w:r>
      <w:r w:rsidRPr="009A41C5">
        <w:rPr>
          <w:b/>
          <w:sz w:val="22"/>
          <w:szCs w:val="22"/>
        </w:rPr>
        <w:t>.</w:t>
      </w:r>
      <w:r w:rsidR="00AB1112" w:rsidRPr="009A41C5">
        <w:rPr>
          <w:b/>
          <w:sz w:val="22"/>
          <w:szCs w:val="22"/>
        </w:rPr>
        <w:tab/>
      </w:r>
      <w:r w:rsidRPr="009A41C5">
        <w:rPr>
          <w:b/>
          <w:sz w:val="22"/>
          <w:szCs w:val="22"/>
        </w:rPr>
        <w:tab/>
        <w:t>Group Borrowings</w:t>
      </w:r>
      <w:r w:rsidRPr="00533668">
        <w:rPr>
          <w:b/>
          <w:sz w:val="22"/>
          <w:szCs w:val="22"/>
        </w:rPr>
        <w:t xml:space="preserve"> </w:t>
      </w:r>
    </w:p>
    <w:p w:rsidR="00190E10" w:rsidRPr="00533668" w:rsidRDefault="00190E10">
      <w:pPr>
        <w:tabs>
          <w:tab w:val="left" w:pos="360"/>
        </w:tabs>
        <w:jc w:val="both"/>
        <w:rPr>
          <w:sz w:val="22"/>
          <w:szCs w:val="22"/>
        </w:rPr>
      </w:pPr>
    </w:p>
    <w:p w:rsidR="00190E10" w:rsidRPr="00533668" w:rsidRDefault="00190E10" w:rsidP="00475F26">
      <w:pPr>
        <w:tabs>
          <w:tab w:val="left" w:pos="360"/>
        </w:tabs>
        <w:ind w:left="360"/>
        <w:jc w:val="both"/>
        <w:rPr>
          <w:sz w:val="22"/>
          <w:szCs w:val="22"/>
        </w:rPr>
      </w:pPr>
      <w:r w:rsidRPr="00533668">
        <w:rPr>
          <w:sz w:val="22"/>
          <w:szCs w:val="22"/>
        </w:rPr>
        <w:tab/>
        <w:t xml:space="preserve">Group borrowings all of which are secured as at </w:t>
      </w:r>
      <w:r w:rsidR="007034F0" w:rsidRPr="00533668">
        <w:rPr>
          <w:sz w:val="22"/>
          <w:szCs w:val="22"/>
        </w:rPr>
        <w:t>3</w:t>
      </w:r>
      <w:r w:rsidR="00A65607">
        <w:rPr>
          <w:sz w:val="22"/>
          <w:szCs w:val="22"/>
        </w:rPr>
        <w:t xml:space="preserve">0 </w:t>
      </w:r>
      <w:r w:rsidR="00260D94">
        <w:rPr>
          <w:sz w:val="22"/>
          <w:szCs w:val="22"/>
        </w:rPr>
        <w:t>September</w:t>
      </w:r>
      <w:r w:rsidR="00730E5C">
        <w:rPr>
          <w:sz w:val="22"/>
          <w:szCs w:val="22"/>
        </w:rPr>
        <w:t xml:space="preserve"> 2014</w:t>
      </w:r>
      <w:r w:rsidR="00AA5BA0" w:rsidRPr="00533668">
        <w:rPr>
          <w:sz w:val="22"/>
          <w:szCs w:val="22"/>
        </w:rPr>
        <w:t xml:space="preserve"> </w:t>
      </w:r>
      <w:r w:rsidRPr="00533668">
        <w:rPr>
          <w:sz w:val="22"/>
          <w:szCs w:val="22"/>
        </w:rPr>
        <w:t>were as follows:</w:t>
      </w:r>
    </w:p>
    <w:p w:rsidR="00190E10" w:rsidRPr="00533668" w:rsidRDefault="00190E10">
      <w:pPr>
        <w:tabs>
          <w:tab w:val="left" w:pos="360"/>
        </w:tabs>
        <w:ind w:left="540" w:firstLine="360"/>
        <w:jc w:val="both"/>
        <w:rPr>
          <w:sz w:val="22"/>
          <w:szCs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10"/>
        <w:gridCol w:w="2250"/>
        <w:gridCol w:w="1530"/>
        <w:gridCol w:w="1739"/>
      </w:tblGrid>
      <w:tr w:rsidR="0060146F" w:rsidRPr="00E46FC6">
        <w:tc>
          <w:tcPr>
            <w:tcW w:w="2610" w:type="dxa"/>
          </w:tcPr>
          <w:p w:rsidR="0060146F" w:rsidRPr="00E46FC6" w:rsidRDefault="0060146F" w:rsidP="00B534AA">
            <w:pPr>
              <w:tabs>
                <w:tab w:val="left" w:pos="360"/>
                <w:tab w:val="left" w:pos="1470"/>
              </w:tabs>
              <w:jc w:val="right"/>
              <w:rPr>
                <w:rFonts w:eastAsia="Calibri"/>
                <w:sz w:val="22"/>
                <w:szCs w:val="22"/>
              </w:rPr>
            </w:pPr>
          </w:p>
        </w:tc>
        <w:tc>
          <w:tcPr>
            <w:tcW w:w="2250" w:type="dxa"/>
          </w:tcPr>
          <w:p w:rsidR="0060146F" w:rsidRPr="00E46FC6" w:rsidRDefault="0060146F" w:rsidP="00B534AA">
            <w:pPr>
              <w:tabs>
                <w:tab w:val="left" w:pos="360"/>
                <w:tab w:val="left" w:pos="1470"/>
              </w:tabs>
              <w:jc w:val="right"/>
              <w:rPr>
                <w:rFonts w:eastAsia="Calibri"/>
                <w:sz w:val="22"/>
                <w:szCs w:val="22"/>
              </w:rPr>
            </w:pPr>
            <w:r w:rsidRPr="00E46FC6">
              <w:rPr>
                <w:rFonts w:eastAsia="Calibri"/>
                <w:sz w:val="22"/>
                <w:szCs w:val="22"/>
              </w:rPr>
              <w:t xml:space="preserve">Current </w:t>
            </w:r>
          </w:p>
        </w:tc>
        <w:tc>
          <w:tcPr>
            <w:tcW w:w="1530" w:type="dxa"/>
          </w:tcPr>
          <w:p w:rsidR="0060146F" w:rsidRPr="00E46FC6" w:rsidRDefault="0060146F" w:rsidP="00B534AA">
            <w:pPr>
              <w:tabs>
                <w:tab w:val="left" w:pos="360"/>
                <w:tab w:val="left" w:pos="1470"/>
              </w:tabs>
              <w:jc w:val="right"/>
              <w:rPr>
                <w:rFonts w:eastAsia="Calibri"/>
                <w:sz w:val="22"/>
                <w:szCs w:val="22"/>
              </w:rPr>
            </w:pPr>
            <w:r w:rsidRPr="00E46FC6">
              <w:rPr>
                <w:rFonts w:eastAsia="Calibri"/>
                <w:sz w:val="22"/>
                <w:szCs w:val="22"/>
              </w:rPr>
              <w:t>Non Current</w:t>
            </w:r>
          </w:p>
        </w:tc>
        <w:tc>
          <w:tcPr>
            <w:tcW w:w="1739" w:type="dxa"/>
          </w:tcPr>
          <w:p w:rsidR="0060146F" w:rsidRPr="00E46FC6" w:rsidRDefault="0060146F" w:rsidP="00B534AA">
            <w:pPr>
              <w:tabs>
                <w:tab w:val="left" w:pos="360"/>
                <w:tab w:val="left" w:pos="1470"/>
              </w:tabs>
              <w:jc w:val="right"/>
              <w:rPr>
                <w:rFonts w:eastAsia="Calibri"/>
                <w:sz w:val="22"/>
                <w:szCs w:val="22"/>
              </w:rPr>
            </w:pPr>
            <w:r w:rsidRPr="00E46FC6">
              <w:rPr>
                <w:rFonts w:eastAsia="Calibri"/>
                <w:sz w:val="22"/>
                <w:szCs w:val="22"/>
              </w:rPr>
              <w:t>Total</w:t>
            </w:r>
          </w:p>
        </w:tc>
      </w:tr>
      <w:tr w:rsidR="0060146F" w:rsidRPr="006B7DBF">
        <w:trPr>
          <w:trHeight w:val="413"/>
        </w:trPr>
        <w:tc>
          <w:tcPr>
            <w:tcW w:w="2610" w:type="dxa"/>
          </w:tcPr>
          <w:p w:rsidR="0060146F" w:rsidRPr="00E46FC6" w:rsidRDefault="0060146F" w:rsidP="00B534AA">
            <w:pPr>
              <w:tabs>
                <w:tab w:val="left" w:pos="360"/>
                <w:tab w:val="left" w:pos="1470"/>
              </w:tabs>
              <w:jc w:val="right"/>
              <w:rPr>
                <w:rFonts w:eastAsia="Calibri"/>
                <w:sz w:val="22"/>
                <w:szCs w:val="22"/>
              </w:rPr>
            </w:pPr>
          </w:p>
        </w:tc>
        <w:tc>
          <w:tcPr>
            <w:tcW w:w="2250" w:type="dxa"/>
          </w:tcPr>
          <w:p w:rsidR="0060146F" w:rsidRPr="006B7DBF" w:rsidRDefault="0060146F" w:rsidP="00B534AA">
            <w:pPr>
              <w:tabs>
                <w:tab w:val="left" w:pos="360"/>
                <w:tab w:val="left" w:pos="1470"/>
              </w:tabs>
              <w:jc w:val="right"/>
              <w:rPr>
                <w:rFonts w:eastAsia="Calibri"/>
                <w:sz w:val="22"/>
                <w:szCs w:val="22"/>
              </w:rPr>
            </w:pPr>
            <w:r w:rsidRPr="006B7DBF">
              <w:rPr>
                <w:rFonts w:eastAsia="Calibri"/>
                <w:sz w:val="22"/>
                <w:szCs w:val="22"/>
              </w:rPr>
              <w:t>RM’000</w:t>
            </w:r>
          </w:p>
        </w:tc>
        <w:tc>
          <w:tcPr>
            <w:tcW w:w="1530" w:type="dxa"/>
          </w:tcPr>
          <w:p w:rsidR="0060146F" w:rsidRPr="006B7DBF" w:rsidRDefault="0060146F" w:rsidP="00B534AA">
            <w:pPr>
              <w:tabs>
                <w:tab w:val="left" w:pos="360"/>
                <w:tab w:val="left" w:pos="1470"/>
              </w:tabs>
              <w:jc w:val="right"/>
              <w:rPr>
                <w:rFonts w:eastAsia="Calibri"/>
                <w:sz w:val="22"/>
                <w:szCs w:val="22"/>
              </w:rPr>
            </w:pPr>
            <w:r w:rsidRPr="006B7DBF">
              <w:rPr>
                <w:rFonts w:eastAsia="Calibri"/>
                <w:sz w:val="22"/>
                <w:szCs w:val="22"/>
              </w:rPr>
              <w:t>RM’000</w:t>
            </w:r>
          </w:p>
        </w:tc>
        <w:tc>
          <w:tcPr>
            <w:tcW w:w="1739" w:type="dxa"/>
          </w:tcPr>
          <w:p w:rsidR="0060146F" w:rsidRPr="006B7DBF" w:rsidRDefault="0060146F" w:rsidP="00B534AA">
            <w:pPr>
              <w:tabs>
                <w:tab w:val="left" w:pos="360"/>
                <w:tab w:val="left" w:pos="1470"/>
              </w:tabs>
              <w:jc w:val="right"/>
              <w:rPr>
                <w:rFonts w:eastAsia="Calibri"/>
                <w:sz w:val="22"/>
                <w:szCs w:val="22"/>
              </w:rPr>
            </w:pPr>
            <w:r w:rsidRPr="006B7DBF">
              <w:rPr>
                <w:rFonts w:eastAsia="Calibri"/>
                <w:sz w:val="22"/>
                <w:szCs w:val="22"/>
              </w:rPr>
              <w:t>RM’000</w:t>
            </w:r>
          </w:p>
        </w:tc>
      </w:tr>
      <w:tr w:rsidR="0060146F" w:rsidRPr="006B7DBF">
        <w:tc>
          <w:tcPr>
            <w:tcW w:w="2610" w:type="dxa"/>
          </w:tcPr>
          <w:p w:rsidR="0060146F" w:rsidRPr="006B7DBF" w:rsidRDefault="0060146F" w:rsidP="00B534AA">
            <w:pPr>
              <w:tabs>
                <w:tab w:val="left" w:pos="360"/>
                <w:tab w:val="left" w:pos="1470"/>
              </w:tabs>
              <w:jc w:val="right"/>
              <w:rPr>
                <w:rFonts w:eastAsia="Calibri"/>
                <w:sz w:val="22"/>
                <w:szCs w:val="22"/>
              </w:rPr>
            </w:pPr>
            <w:r w:rsidRPr="006B7DBF">
              <w:rPr>
                <w:rFonts w:eastAsia="Calibri"/>
                <w:sz w:val="22"/>
                <w:szCs w:val="22"/>
              </w:rPr>
              <w:t>Hire purchase and finance lease liabilities</w:t>
            </w:r>
          </w:p>
        </w:tc>
        <w:tc>
          <w:tcPr>
            <w:tcW w:w="2250" w:type="dxa"/>
          </w:tcPr>
          <w:p w:rsidR="0060146F" w:rsidRPr="006B7DBF" w:rsidRDefault="00CD1953" w:rsidP="0091081B">
            <w:pPr>
              <w:tabs>
                <w:tab w:val="left" w:pos="360"/>
                <w:tab w:val="left" w:pos="1470"/>
              </w:tabs>
              <w:jc w:val="right"/>
              <w:rPr>
                <w:rFonts w:eastAsia="Calibri"/>
                <w:sz w:val="22"/>
                <w:szCs w:val="22"/>
              </w:rPr>
            </w:pPr>
            <w:r w:rsidRPr="006B7DBF">
              <w:rPr>
                <w:rFonts w:eastAsia="Calibri"/>
                <w:sz w:val="22"/>
                <w:szCs w:val="22"/>
              </w:rPr>
              <w:t>2</w:t>
            </w:r>
            <w:r w:rsidR="005B2BA2" w:rsidRPr="006B7DBF">
              <w:rPr>
                <w:rFonts w:eastAsia="Calibri"/>
                <w:sz w:val="22"/>
                <w:szCs w:val="22"/>
              </w:rPr>
              <w:t>1</w:t>
            </w:r>
            <w:r w:rsidRPr="006B7DBF">
              <w:rPr>
                <w:rFonts w:eastAsia="Calibri"/>
                <w:sz w:val="22"/>
                <w:szCs w:val="22"/>
              </w:rPr>
              <w:t>,</w:t>
            </w:r>
            <w:r w:rsidR="0091081B">
              <w:rPr>
                <w:rFonts w:eastAsia="Calibri"/>
                <w:sz w:val="22"/>
                <w:szCs w:val="22"/>
              </w:rPr>
              <w:t>485</w:t>
            </w:r>
          </w:p>
        </w:tc>
        <w:tc>
          <w:tcPr>
            <w:tcW w:w="1530" w:type="dxa"/>
          </w:tcPr>
          <w:p w:rsidR="0060146F" w:rsidRPr="006B7DBF" w:rsidRDefault="00CD1953" w:rsidP="0091081B">
            <w:pPr>
              <w:tabs>
                <w:tab w:val="left" w:pos="360"/>
                <w:tab w:val="left" w:pos="1470"/>
              </w:tabs>
              <w:jc w:val="right"/>
              <w:rPr>
                <w:rFonts w:eastAsia="Calibri"/>
                <w:sz w:val="22"/>
                <w:szCs w:val="22"/>
              </w:rPr>
            </w:pPr>
            <w:r w:rsidRPr="006B7DBF">
              <w:rPr>
                <w:rFonts w:eastAsia="Calibri"/>
                <w:sz w:val="22"/>
                <w:szCs w:val="22"/>
              </w:rPr>
              <w:t>21,</w:t>
            </w:r>
            <w:r w:rsidR="0091081B">
              <w:rPr>
                <w:rFonts w:eastAsia="Calibri"/>
                <w:sz w:val="22"/>
                <w:szCs w:val="22"/>
              </w:rPr>
              <w:t>524</w:t>
            </w:r>
          </w:p>
        </w:tc>
        <w:tc>
          <w:tcPr>
            <w:tcW w:w="1739" w:type="dxa"/>
          </w:tcPr>
          <w:p w:rsidR="0060146F" w:rsidRPr="006B7DBF" w:rsidRDefault="00CD1953" w:rsidP="0091081B">
            <w:pPr>
              <w:tabs>
                <w:tab w:val="left" w:pos="360"/>
                <w:tab w:val="left" w:pos="1470"/>
              </w:tabs>
              <w:jc w:val="right"/>
              <w:rPr>
                <w:rFonts w:eastAsia="Calibri"/>
                <w:sz w:val="22"/>
                <w:szCs w:val="22"/>
              </w:rPr>
            </w:pPr>
            <w:r w:rsidRPr="006B7DBF">
              <w:rPr>
                <w:rFonts w:eastAsia="Calibri"/>
                <w:sz w:val="22"/>
                <w:szCs w:val="22"/>
              </w:rPr>
              <w:t>4</w:t>
            </w:r>
            <w:r w:rsidR="0091081B">
              <w:rPr>
                <w:rFonts w:eastAsia="Calibri"/>
                <w:sz w:val="22"/>
                <w:szCs w:val="22"/>
              </w:rPr>
              <w:t>3</w:t>
            </w:r>
            <w:r w:rsidRPr="006B7DBF">
              <w:rPr>
                <w:rFonts w:eastAsia="Calibri"/>
                <w:sz w:val="22"/>
                <w:szCs w:val="22"/>
              </w:rPr>
              <w:t>,</w:t>
            </w:r>
            <w:r w:rsidR="0091081B">
              <w:rPr>
                <w:rFonts w:eastAsia="Calibri"/>
                <w:sz w:val="22"/>
                <w:szCs w:val="22"/>
              </w:rPr>
              <w:t>009</w:t>
            </w:r>
          </w:p>
        </w:tc>
      </w:tr>
      <w:tr w:rsidR="0060146F" w:rsidRPr="006B7DBF">
        <w:tc>
          <w:tcPr>
            <w:tcW w:w="2610" w:type="dxa"/>
          </w:tcPr>
          <w:p w:rsidR="0060146F" w:rsidRPr="006B7DBF" w:rsidRDefault="0060146F" w:rsidP="00B534AA">
            <w:pPr>
              <w:tabs>
                <w:tab w:val="left" w:pos="360"/>
                <w:tab w:val="left" w:pos="1470"/>
              </w:tabs>
              <w:jc w:val="right"/>
              <w:rPr>
                <w:rFonts w:eastAsia="Calibri"/>
                <w:sz w:val="22"/>
                <w:szCs w:val="22"/>
              </w:rPr>
            </w:pPr>
            <w:r w:rsidRPr="006B7DBF">
              <w:rPr>
                <w:rFonts w:eastAsia="Calibri"/>
                <w:sz w:val="22"/>
                <w:szCs w:val="22"/>
              </w:rPr>
              <w:t>Bank borrowings</w:t>
            </w:r>
          </w:p>
        </w:tc>
        <w:tc>
          <w:tcPr>
            <w:tcW w:w="2250" w:type="dxa"/>
          </w:tcPr>
          <w:p w:rsidR="0060146F" w:rsidRPr="006B7DBF" w:rsidRDefault="0091081B" w:rsidP="00A173D0">
            <w:pPr>
              <w:tabs>
                <w:tab w:val="left" w:pos="360"/>
                <w:tab w:val="left" w:pos="1470"/>
              </w:tabs>
              <w:jc w:val="right"/>
              <w:rPr>
                <w:rFonts w:eastAsia="Calibri"/>
                <w:sz w:val="22"/>
                <w:szCs w:val="22"/>
              </w:rPr>
            </w:pPr>
            <w:r>
              <w:rPr>
                <w:rFonts w:eastAsia="Calibri"/>
                <w:sz w:val="22"/>
                <w:szCs w:val="22"/>
              </w:rPr>
              <w:t>292,698</w:t>
            </w:r>
          </w:p>
        </w:tc>
        <w:tc>
          <w:tcPr>
            <w:tcW w:w="1530" w:type="dxa"/>
          </w:tcPr>
          <w:p w:rsidR="0060146F" w:rsidRPr="006B7DBF" w:rsidRDefault="00CD1953" w:rsidP="0091081B">
            <w:pPr>
              <w:tabs>
                <w:tab w:val="left" w:pos="360"/>
                <w:tab w:val="left" w:pos="1470"/>
              </w:tabs>
              <w:jc w:val="right"/>
              <w:rPr>
                <w:rFonts w:eastAsia="Calibri"/>
                <w:sz w:val="22"/>
                <w:szCs w:val="22"/>
              </w:rPr>
            </w:pPr>
            <w:r w:rsidRPr="006B7DBF">
              <w:rPr>
                <w:rFonts w:eastAsia="Calibri"/>
                <w:sz w:val="22"/>
                <w:szCs w:val="22"/>
              </w:rPr>
              <w:t>1</w:t>
            </w:r>
            <w:r w:rsidR="006B7DBF" w:rsidRPr="006B7DBF">
              <w:rPr>
                <w:rFonts w:eastAsia="Calibri"/>
                <w:sz w:val="22"/>
                <w:szCs w:val="22"/>
              </w:rPr>
              <w:t>9</w:t>
            </w:r>
            <w:r w:rsidR="0091081B">
              <w:rPr>
                <w:rFonts w:eastAsia="Calibri"/>
                <w:sz w:val="22"/>
                <w:szCs w:val="22"/>
              </w:rPr>
              <w:t>7</w:t>
            </w:r>
            <w:r w:rsidRPr="006B7DBF">
              <w:rPr>
                <w:rFonts w:eastAsia="Calibri"/>
                <w:sz w:val="22"/>
                <w:szCs w:val="22"/>
              </w:rPr>
              <w:t>,</w:t>
            </w:r>
            <w:r w:rsidR="0091081B">
              <w:rPr>
                <w:rFonts w:eastAsia="Calibri"/>
                <w:sz w:val="22"/>
                <w:szCs w:val="22"/>
              </w:rPr>
              <w:t>321</w:t>
            </w:r>
          </w:p>
        </w:tc>
        <w:tc>
          <w:tcPr>
            <w:tcW w:w="1739" w:type="dxa"/>
          </w:tcPr>
          <w:p w:rsidR="0060146F" w:rsidRPr="006B7DBF" w:rsidRDefault="00CD1953" w:rsidP="0091081B">
            <w:pPr>
              <w:tabs>
                <w:tab w:val="left" w:pos="360"/>
                <w:tab w:val="left" w:pos="1470"/>
              </w:tabs>
              <w:jc w:val="right"/>
              <w:rPr>
                <w:rFonts w:eastAsia="Calibri"/>
                <w:sz w:val="22"/>
                <w:szCs w:val="22"/>
              </w:rPr>
            </w:pPr>
            <w:r w:rsidRPr="006B7DBF">
              <w:rPr>
                <w:rFonts w:eastAsia="Calibri"/>
                <w:sz w:val="22"/>
                <w:szCs w:val="22"/>
              </w:rPr>
              <w:t>49</w:t>
            </w:r>
            <w:r w:rsidR="0091081B">
              <w:rPr>
                <w:rFonts w:eastAsia="Calibri"/>
                <w:sz w:val="22"/>
                <w:szCs w:val="22"/>
              </w:rPr>
              <w:t>0</w:t>
            </w:r>
            <w:r w:rsidRPr="006B7DBF">
              <w:rPr>
                <w:rFonts w:eastAsia="Calibri"/>
                <w:sz w:val="22"/>
                <w:szCs w:val="22"/>
              </w:rPr>
              <w:t>,</w:t>
            </w:r>
            <w:r w:rsidR="0091081B">
              <w:rPr>
                <w:rFonts w:eastAsia="Calibri"/>
                <w:sz w:val="22"/>
                <w:szCs w:val="22"/>
              </w:rPr>
              <w:t>019</w:t>
            </w:r>
          </w:p>
        </w:tc>
      </w:tr>
      <w:tr w:rsidR="0060146F" w:rsidRPr="006B7DBF">
        <w:tc>
          <w:tcPr>
            <w:tcW w:w="2610" w:type="dxa"/>
          </w:tcPr>
          <w:p w:rsidR="0060146F" w:rsidRPr="006B7DBF" w:rsidRDefault="0060146F" w:rsidP="00B534AA">
            <w:pPr>
              <w:tabs>
                <w:tab w:val="left" w:pos="360"/>
                <w:tab w:val="left" w:pos="1470"/>
              </w:tabs>
              <w:jc w:val="right"/>
              <w:rPr>
                <w:rFonts w:eastAsia="Calibri"/>
                <w:sz w:val="22"/>
                <w:szCs w:val="22"/>
              </w:rPr>
            </w:pPr>
            <w:r w:rsidRPr="006B7DBF">
              <w:rPr>
                <w:rFonts w:eastAsia="Calibri"/>
                <w:sz w:val="22"/>
                <w:szCs w:val="22"/>
              </w:rPr>
              <w:t>Bank overdraft</w:t>
            </w:r>
          </w:p>
        </w:tc>
        <w:tc>
          <w:tcPr>
            <w:tcW w:w="2250" w:type="dxa"/>
          </w:tcPr>
          <w:p w:rsidR="0060146F" w:rsidRPr="006B7DBF" w:rsidRDefault="0091081B" w:rsidP="006B7DBF">
            <w:pPr>
              <w:tabs>
                <w:tab w:val="left" w:pos="360"/>
                <w:tab w:val="left" w:pos="1470"/>
              </w:tabs>
              <w:jc w:val="right"/>
              <w:rPr>
                <w:rFonts w:eastAsia="Calibri"/>
                <w:sz w:val="22"/>
                <w:szCs w:val="22"/>
              </w:rPr>
            </w:pPr>
            <w:r>
              <w:rPr>
                <w:rFonts w:eastAsia="Calibri"/>
                <w:sz w:val="22"/>
                <w:szCs w:val="22"/>
              </w:rPr>
              <w:t>7,339</w:t>
            </w:r>
          </w:p>
        </w:tc>
        <w:tc>
          <w:tcPr>
            <w:tcW w:w="1530" w:type="dxa"/>
          </w:tcPr>
          <w:p w:rsidR="0060146F" w:rsidRPr="006B7DBF" w:rsidRDefault="00CD1953" w:rsidP="00B534AA">
            <w:pPr>
              <w:tabs>
                <w:tab w:val="left" w:pos="360"/>
                <w:tab w:val="left" w:pos="1470"/>
              </w:tabs>
              <w:jc w:val="right"/>
              <w:rPr>
                <w:rFonts w:eastAsia="Calibri"/>
                <w:sz w:val="22"/>
                <w:szCs w:val="22"/>
              </w:rPr>
            </w:pPr>
            <w:r w:rsidRPr="006B7DBF">
              <w:rPr>
                <w:rFonts w:eastAsia="Calibri"/>
                <w:sz w:val="22"/>
                <w:szCs w:val="22"/>
              </w:rPr>
              <w:t>-</w:t>
            </w:r>
          </w:p>
        </w:tc>
        <w:tc>
          <w:tcPr>
            <w:tcW w:w="1739" w:type="dxa"/>
          </w:tcPr>
          <w:p w:rsidR="0060146F" w:rsidRPr="006B7DBF" w:rsidRDefault="0091081B" w:rsidP="006B7DBF">
            <w:pPr>
              <w:tabs>
                <w:tab w:val="left" w:pos="360"/>
                <w:tab w:val="left" w:pos="1470"/>
              </w:tabs>
              <w:jc w:val="right"/>
              <w:rPr>
                <w:rFonts w:eastAsia="Calibri"/>
                <w:sz w:val="22"/>
                <w:szCs w:val="22"/>
              </w:rPr>
            </w:pPr>
            <w:r>
              <w:rPr>
                <w:rFonts w:eastAsia="Calibri"/>
                <w:sz w:val="22"/>
                <w:szCs w:val="22"/>
              </w:rPr>
              <w:t>7,339</w:t>
            </w:r>
          </w:p>
        </w:tc>
      </w:tr>
      <w:tr w:rsidR="0060146F" w:rsidRPr="006B7DBF">
        <w:tc>
          <w:tcPr>
            <w:tcW w:w="2610" w:type="dxa"/>
          </w:tcPr>
          <w:p w:rsidR="0060146F" w:rsidRPr="006B7DBF" w:rsidRDefault="00956FF7" w:rsidP="00B534AA">
            <w:pPr>
              <w:tabs>
                <w:tab w:val="left" w:pos="360"/>
                <w:tab w:val="left" w:pos="1470"/>
              </w:tabs>
              <w:jc w:val="right"/>
              <w:rPr>
                <w:rFonts w:eastAsia="Calibri"/>
                <w:sz w:val="22"/>
                <w:szCs w:val="22"/>
              </w:rPr>
            </w:pPr>
            <w:r w:rsidRPr="006B7DBF">
              <w:rPr>
                <w:rFonts w:eastAsia="Calibri"/>
                <w:sz w:val="22"/>
                <w:szCs w:val="22"/>
              </w:rPr>
              <w:t>Total borrowings</w:t>
            </w:r>
          </w:p>
        </w:tc>
        <w:tc>
          <w:tcPr>
            <w:tcW w:w="2250" w:type="dxa"/>
          </w:tcPr>
          <w:p w:rsidR="001A7793" w:rsidRPr="006B7DBF" w:rsidRDefault="00CD1953" w:rsidP="0091081B">
            <w:pPr>
              <w:tabs>
                <w:tab w:val="left" w:pos="360"/>
                <w:tab w:val="left" w:pos="1470"/>
              </w:tabs>
              <w:jc w:val="right"/>
              <w:rPr>
                <w:rFonts w:eastAsia="Calibri"/>
                <w:sz w:val="22"/>
                <w:szCs w:val="22"/>
              </w:rPr>
            </w:pPr>
            <w:r w:rsidRPr="006B7DBF">
              <w:rPr>
                <w:rFonts w:eastAsia="Calibri"/>
                <w:sz w:val="22"/>
                <w:szCs w:val="22"/>
              </w:rPr>
              <w:t>3</w:t>
            </w:r>
            <w:r w:rsidR="0091081B">
              <w:rPr>
                <w:rFonts w:eastAsia="Calibri"/>
                <w:sz w:val="22"/>
                <w:szCs w:val="22"/>
              </w:rPr>
              <w:t>2</w:t>
            </w:r>
            <w:r w:rsidR="006B7DBF" w:rsidRPr="006B7DBF">
              <w:rPr>
                <w:rFonts w:eastAsia="Calibri"/>
                <w:sz w:val="22"/>
                <w:szCs w:val="22"/>
              </w:rPr>
              <w:t>1</w:t>
            </w:r>
            <w:r w:rsidRPr="006B7DBF">
              <w:rPr>
                <w:rFonts w:eastAsia="Calibri"/>
                <w:sz w:val="22"/>
                <w:szCs w:val="22"/>
              </w:rPr>
              <w:t>,</w:t>
            </w:r>
            <w:r w:rsidR="0091081B">
              <w:rPr>
                <w:rFonts w:eastAsia="Calibri"/>
                <w:sz w:val="22"/>
                <w:szCs w:val="22"/>
              </w:rPr>
              <w:t>522</w:t>
            </w:r>
          </w:p>
        </w:tc>
        <w:tc>
          <w:tcPr>
            <w:tcW w:w="1530" w:type="dxa"/>
          </w:tcPr>
          <w:p w:rsidR="001A7793" w:rsidRPr="006B7DBF" w:rsidRDefault="00CD1953" w:rsidP="0091081B">
            <w:pPr>
              <w:tabs>
                <w:tab w:val="left" w:pos="360"/>
                <w:tab w:val="left" w:pos="1470"/>
              </w:tabs>
              <w:jc w:val="right"/>
              <w:rPr>
                <w:rFonts w:eastAsia="Calibri"/>
                <w:sz w:val="22"/>
                <w:szCs w:val="22"/>
              </w:rPr>
            </w:pPr>
            <w:r w:rsidRPr="006B7DBF">
              <w:rPr>
                <w:rFonts w:eastAsia="Calibri"/>
                <w:sz w:val="22"/>
                <w:szCs w:val="22"/>
              </w:rPr>
              <w:t>2</w:t>
            </w:r>
            <w:r w:rsidR="006B7DBF" w:rsidRPr="006B7DBF">
              <w:rPr>
                <w:rFonts w:eastAsia="Calibri"/>
                <w:sz w:val="22"/>
                <w:szCs w:val="22"/>
              </w:rPr>
              <w:t>1</w:t>
            </w:r>
            <w:r w:rsidR="0091081B">
              <w:rPr>
                <w:rFonts w:eastAsia="Calibri"/>
                <w:sz w:val="22"/>
                <w:szCs w:val="22"/>
              </w:rPr>
              <w:t>8</w:t>
            </w:r>
            <w:r w:rsidRPr="006B7DBF">
              <w:rPr>
                <w:rFonts w:eastAsia="Calibri"/>
                <w:sz w:val="22"/>
                <w:szCs w:val="22"/>
              </w:rPr>
              <w:t>,</w:t>
            </w:r>
            <w:r w:rsidR="0091081B">
              <w:rPr>
                <w:rFonts w:eastAsia="Calibri"/>
                <w:sz w:val="22"/>
                <w:szCs w:val="22"/>
              </w:rPr>
              <w:t>845</w:t>
            </w:r>
          </w:p>
        </w:tc>
        <w:tc>
          <w:tcPr>
            <w:tcW w:w="1739" w:type="dxa"/>
          </w:tcPr>
          <w:p w:rsidR="0060146F" w:rsidRPr="006B7DBF" w:rsidRDefault="00CD1953" w:rsidP="0091081B">
            <w:pPr>
              <w:tabs>
                <w:tab w:val="left" w:pos="360"/>
                <w:tab w:val="left" w:pos="1470"/>
              </w:tabs>
              <w:jc w:val="right"/>
              <w:rPr>
                <w:rFonts w:eastAsia="Calibri"/>
                <w:sz w:val="22"/>
                <w:szCs w:val="22"/>
              </w:rPr>
            </w:pPr>
            <w:r w:rsidRPr="006B7DBF">
              <w:rPr>
                <w:rFonts w:eastAsia="Calibri"/>
                <w:sz w:val="22"/>
                <w:szCs w:val="22"/>
              </w:rPr>
              <w:t>54</w:t>
            </w:r>
            <w:r w:rsidR="0091081B">
              <w:rPr>
                <w:rFonts w:eastAsia="Calibri"/>
                <w:sz w:val="22"/>
                <w:szCs w:val="22"/>
              </w:rPr>
              <w:t>0</w:t>
            </w:r>
            <w:r w:rsidRPr="006B7DBF">
              <w:rPr>
                <w:rFonts w:eastAsia="Calibri"/>
                <w:sz w:val="22"/>
                <w:szCs w:val="22"/>
              </w:rPr>
              <w:t>,</w:t>
            </w:r>
            <w:r w:rsidR="00A173D0">
              <w:rPr>
                <w:rFonts w:eastAsia="Calibri"/>
                <w:sz w:val="22"/>
                <w:szCs w:val="22"/>
              </w:rPr>
              <w:t>3</w:t>
            </w:r>
            <w:r w:rsidR="0091081B">
              <w:rPr>
                <w:rFonts w:eastAsia="Calibri"/>
                <w:sz w:val="22"/>
                <w:szCs w:val="22"/>
              </w:rPr>
              <w:t>67</w:t>
            </w:r>
          </w:p>
        </w:tc>
      </w:tr>
    </w:tbl>
    <w:p w:rsidR="0060146F" w:rsidRPr="006B7DBF" w:rsidRDefault="0060146F" w:rsidP="0060146F">
      <w:pPr>
        <w:tabs>
          <w:tab w:val="left" w:pos="360"/>
          <w:tab w:val="left" w:pos="1470"/>
        </w:tabs>
        <w:ind w:firstLine="360"/>
        <w:jc w:val="both"/>
        <w:rPr>
          <w:sz w:val="22"/>
          <w:szCs w:val="22"/>
        </w:rPr>
      </w:pPr>
    </w:p>
    <w:p w:rsidR="003D1581" w:rsidRDefault="00190E10" w:rsidP="0015285E">
      <w:pPr>
        <w:tabs>
          <w:tab w:val="left" w:pos="360"/>
        </w:tabs>
        <w:ind w:firstLine="720"/>
        <w:jc w:val="both"/>
        <w:rPr>
          <w:sz w:val="22"/>
          <w:szCs w:val="22"/>
        </w:rPr>
      </w:pPr>
      <w:r w:rsidRPr="006B7DBF">
        <w:rPr>
          <w:sz w:val="22"/>
          <w:szCs w:val="22"/>
        </w:rPr>
        <w:t xml:space="preserve">The borrowings are all denominated in Ringgit </w:t>
      </w:r>
      <w:smartTag w:uri="urn:schemas-microsoft-com:office:smarttags" w:element="place">
        <w:smartTag w:uri="urn:schemas-microsoft-com:office:smarttags" w:element="country-region">
          <w:r w:rsidRPr="006B7DBF">
            <w:rPr>
              <w:sz w:val="22"/>
              <w:szCs w:val="22"/>
            </w:rPr>
            <w:t>Malaysia</w:t>
          </w:r>
        </w:smartTag>
      </w:smartTag>
      <w:r w:rsidRPr="006B7DBF">
        <w:rPr>
          <w:sz w:val="22"/>
          <w:szCs w:val="22"/>
        </w:rPr>
        <w:t>.</w:t>
      </w:r>
    </w:p>
    <w:p w:rsidR="001B0253" w:rsidRDefault="001B0253" w:rsidP="0015285E">
      <w:pPr>
        <w:tabs>
          <w:tab w:val="left" w:pos="360"/>
        </w:tabs>
        <w:ind w:firstLine="720"/>
        <w:jc w:val="both"/>
        <w:rPr>
          <w:b/>
          <w:sz w:val="22"/>
          <w:szCs w:val="22"/>
        </w:rPr>
      </w:pPr>
    </w:p>
    <w:p w:rsidR="00AE5C8F" w:rsidRDefault="00AE5C8F" w:rsidP="0015285E">
      <w:pPr>
        <w:tabs>
          <w:tab w:val="left" w:pos="360"/>
        </w:tabs>
        <w:ind w:firstLine="720"/>
        <w:jc w:val="both"/>
        <w:rPr>
          <w:b/>
          <w:sz w:val="22"/>
          <w:szCs w:val="22"/>
        </w:rPr>
      </w:pPr>
    </w:p>
    <w:p w:rsidR="00190E10" w:rsidRPr="00533668" w:rsidRDefault="00190E10">
      <w:pPr>
        <w:tabs>
          <w:tab w:val="left" w:pos="360"/>
        </w:tabs>
        <w:jc w:val="both"/>
        <w:rPr>
          <w:b/>
          <w:sz w:val="22"/>
          <w:szCs w:val="22"/>
        </w:rPr>
      </w:pPr>
      <w:r w:rsidRPr="00533668">
        <w:rPr>
          <w:b/>
          <w:sz w:val="22"/>
          <w:szCs w:val="22"/>
        </w:rPr>
        <w:t>B</w:t>
      </w:r>
      <w:r w:rsidR="00B77B9B">
        <w:rPr>
          <w:b/>
          <w:sz w:val="22"/>
          <w:szCs w:val="22"/>
        </w:rPr>
        <w:t>9</w:t>
      </w:r>
      <w:r w:rsidRPr="00533668">
        <w:rPr>
          <w:b/>
          <w:sz w:val="22"/>
          <w:szCs w:val="22"/>
        </w:rPr>
        <w:t>.</w:t>
      </w:r>
      <w:r w:rsidR="00B77B9B">
        <w:rPr>
          <w:b/>
          <w:sz w:val="22"/>
          <w:szCs w:val="22"/>
        </w:rPr>
        <w:tab/>
      </w:r>
      <w:r w:rsidRPr="00533668">
        <w:rPr>
          <w:b/>
          <w:sz w:val="22"/>
          <w:szCs w:val="22"/>
        </w:rPr>
        <w:tab/>
        <w:t>Pending Material Litigation</w:t>
      </w:r>
    </w:p>
    <w:p w:rsidR="00190E10" w:rsidRPr="00533668" w:rsidRDefault="00190E10">
      <w:pPr>
        <w:tabs>
          <w:tab w:val="left" w:pos="360"/>
        </w:tabs>
        <w:jc w:val="both"/>
        <w:rPr>
          <w:b/>
          <w:sz w:val="22"/>
          <w:szCs w:val="22"/>
        </w:rPr>
      </w:pPr>
    </w:p>
    <w:p w:rsidR="00190E10" w:rsidRPr="00533668" w:rsidRDefault="00190E10">
      <w:pPr>
        <w:pStyle w:val="BodyTextIndent"/>
        <w:jc w:val="both"/>
        <w:rPr>
          <w:sz w:val="22"/>
          <w:szCs w:val="22"/>
        </w:rPr>
      </w:pPr>
      <w:r w:rsidRPr="00533668">
        <w:rPr>
          <w:sz w:val="22"/>
          <w:szCs w:val="22"/>
        </w:rPr>
        <w:tab/>
        <w:t>There was no pending material litigation as at the date of this quarterly report.</w:t>
      </w:r>
    </w:p>
    <w:p w:rsidR="00190E10" w:rsidRDefault="00190E10" w:rsidP="006953C7">
      <w:pPr>
        <w:pStyle w:val="BodyTextIndent"/>
        <w:jc w:val="both"/>
        <w:rPr>
          <w:b/>
          <w:bCs/>
          <w:sz w:val="22"/>
          <w:szCs w:val="22"/>
        </w:rPr>
      </w:pPr>
    </w:p>
    <w:p w:rsidR="00BC75AA" w:rsidRDefault="00BC75AA" w:rsidP="006953C7">
      <w:pPr>
        <w:pStyle w:val="BodyTextIndent"/>
        <w:jc w:val="both"/>
        <w:rPr>
          <w:b/>
          <w:bCs/>
          <w:sz w:val="22"/>
          <w:szCs w:val="22"/>
        </w:rPr>
      </w:pPr>
    </w:p>
    <w:p w:rsidR="00190E10" w:rsidRPr="00533668" w:rsidRDefault="00190E10">
      <w:pPr>
        <w:pStyle w:val="BodyTextIndent"/>
        <w:tabs>
          <w:tab w:val="clear" w:pos="360"/>
          <w:tab w:val="left" w:pos="720"/>
        </w:tabs>
        <w:ind w:left="0"/>
        <w:jc w:val="both"/>
        <w:rPr>
          <w:b/>
          <w:bCs/>
          <w:sz w:val="22"/>
          <w:szCs w:val="22"/>
        </w:rPr>
      </w:pPr>
      <w:r w:rsidRPr="00533668">
        <w:rPr>
          <w:b/>
          <w:bCs/>
          <w:sz w:val="22"/>
          <w:szCs w:val="22"/>
        </w:rPr>
        <w:t>B1</w:t>
      </w:r>
      <w:r w:rsidR="00B77B9B">
        <w:rPr>
          <w:b/>
          <w:bCs/>
          <w:sz w:val="22"/>
          <w:szCs w:val="22"/>
        </w:rPr>
        <w:t>0</w:t>
      </w:r>
      <w:r w:rsidRPr="00533668">
        <w:rPr>
          <w:b/>
          <w:bCs/>
          <w:sz w:val="22"/>
          <w:szCs w:val="22"/>
        </w:rPr>
        <w:t>.</w:t>
      </w:r>
      <w:r w:rsidRPr="00533668">
        <w:rPr>
          <w:b/>
          <w:bCs/>
          <w:sz w:val="22"/>
          <w:szCs w:val="22"/>
        </w:rPr>
        <w:tab/>
      </w:r>
      <w:r w:rsidRPr="007144CC">
        <w:rPr>
          <w:b/>
          <w:bCs/>
          <w:sz w:val="22"/>
          <w:szCs w:val="22"/>
        </w:rPr>
        <w:t>Dividend</w:t>
      </w:r>
    </w:p>
    <w:p w:rsidR="00190E10" w:rsidRPr="00533668" w:rsidRDefault="00190E10">
      <w:pPr>
        <w:pStyle w:val="BodyTextIndent"/>
        <w:tabs>
          <w:tab w:val="clear" w:pos="360"/>
          <w:tab w:val="left" w:pos="720"/>
        </w:tabs>
        <w:ind w:left="0"/>
        <w:jc w:val="both"/>
        <w:rPr>
          <w:b/>
          <w:bCs/>
          <w:sz w:val="22"/>
          <w:szCs w:val="22"/>
        </w:rPr>
      </w:pPr>
    </w:p>
    <w:p w:rsidR="00734148" w:rsidRDefault="00730E5C" w:rsidP="00734148">
      <w:pPr>
        <w:pStyle w:val="BodyTextIndent"/>
        <w:tabs>
          <w:tab w:val="clear" w:pos="360"/>
          <w:tab w:val="left" w:pos="720"/>
        </w:tabs>
        <w:ind w:left="720"/>
        <w:jc w:val="both"/>
        <w:rPr>
          <w:bCs/>
          <w:sz w:val="22"/>
          <w:szCs w:val="22"/>
        </w:rPr>
      </w:pPr>
      <w:r>
        <w:rPr>
          <w:bCs/>
          <w:sz w:val="22"/>
          <w:szCs w:val="22"/>
        </w:rPr>
        <w:t>No dividend has been declared for the current quarter under review.</w:t>
      </w:r>
    </w:p>
    <w:p w:rsidR="00730E5C" w:rsidRDefault="00730E5C" w:rsidP="00734148">
      <w:pPr>
        <w:pStyle w:val="BodyTextIndent"/>
        <w:tabs>
          <w:tab w:val="clear" w:pos="360"/>
          <w:tab w:val="left" w:pos="720"/>
        </w:tabs>
        <w:ind w:left="720"/>
        <w:jc w:val="both"/>
        <w:rPr>
          <w:bCs/>
          <w:sz w:val="22"/>
          <w:szCs w:val="22"/>
        </w:rPr>
      </w:pPr>
    </w:p>
    <w:p w:rsidR="00730E5C" w:rsidRPr="00366DB6" w:rsidRDefault="00730E5C" w:rsidP="00734148">
      <w:pPr>
        <w:pStyle w:val="BodyTextIndent"/>
        <w:tabs>
          <w:tab w:val="clear" w:pos="360"/>
          <w:tab w:val="left" w:pos="720"/>
        </w:tabs>
        <w:ind w:left="720"/>
        <w:jc w:val="both"/>
        <w:rPr>
          <w:sz w:val="22"/>
          <w:szCs w:val="22"/>
        </w:rPr>
      </w:pPr>
    </w:p>
    <w:p w:rsidR="00190E10" w:rsidRPr="0056217E" w:rsidRDefault="00190E10">
      <w:pPr>
        <w:pStyle w:val="BodyTextIndent"/>
        <w:tabs>
          <w:tab w:val="clear" w:pos="360"/>
          <w:tab w:val="left" w:pos="720"/>
        </w:tabs>
        <w:ind w:left="0"/>
        <w:rPr>
          <w:b/>
          <w:sz w:val="22"/>
          <w:szCs w:val="22"/>
          <w:highlight w:val="yellow"/>
        </w:rPr>
      </w:pPr>
      <w:r w:rsidRPr="00533668">
        <w:rPr>
          <w:b/>
          <w:sz w:val="22"/>
          <w:szCs w:val="22"/>
        </w:rPr>
        <w:t>B1</w:t>
      </w:r>
      <w:r w:rsidR="00B77B9B">
        <w:rPr>
          <w:b/>
          <w:sz w:val="22"/>
          <w:szCs w:val="22"/>
        </w:rPr>
        <w:t>1</w:t>
      </w:r>
      <w:r w:rsidRPr="00533668">
        <w:rPr>
          <w:b/>
          <w:sz w:val="22"/>
          <w:szCs w:val="22"/>
        </w:rPr>
        <w:t>.</w:t>
      </w:r>
      <w:r w:rsidRPr="00533668">
        <w:rPr>
          <w:b/>
          <w:sz w:val="22"/>
          <w:szCs w:val="22"/>
        </w:rPr>
        <w:tab/>
      </w:r>
      <w:r w:rsidR="008534D3">
        <w:rPr>
          <w:b/>
          <w:sz w:val="22"/>
          <w:szCs w:val="22"/>
        </w:rPr>
        <w:t xml:space="preserve">Earnings </w:t>
      </w:r>
      <w:r w:rsidRPr="00C10F97">
        <w:rPr>
          <w:b/>
          <w:sz w:val="22"/>
          <w:szCs w:val="22"/>
        </w:rPr>
        <w:t>Per Share</w:t>
      </w:r>
    </w:p>
    <w:p w:rsidR="00681FD9" w:rsidRPr="0056217E" w:rsidRDefault="00681FD9">
      <w:pPr>
        <w:pStyle w:val="BodyTextIndent"/>
        <w:tabs>
          <w:tab w:val="clear" w:pos="360"/>
          <w:tab w:val="left" w:pos="720"/>
        </w:tabs>
        <w:ind w:left="0"/>
        <w:rPr>
          <w:b/>
          <w:sz w:val="22"/>
          <w:szCs w:val="22"/>
          <w:highlight w:val="yellow"/>
        </w:rPr>
      </w:pPr>
    </w:p>
    <w:tbl>
      <w:tblPr>
        <w:tblW w:w="8550" w:type="dxa"/>
        <w:tblInd w:w="648" w:type="dxa"/>
        <w:tblLayout w:type="fixed"/>
        <w:tblLook w:val="01E0"/>
      </w:tblPr>
      <w:tblGrid>
        <w:gridCol w:w="400"/>
        <w:gridCol w:w="3200"/>
        <w:gridCol w:w="1350"/>
        <w:gridCol w:w="1080"/>
        <w:gridCol w:w="360"/>
        <w:gridCol w:w="1080"/>
        <w:gridCol w:w="1080"/>
      </w:tblGrid>
      <w:tr w:rsidR="006953C7" w:rsidRPr="00B534AA">
        <w:tc>
          <w:tcPr>
            <w:tcW w:w="400" w:type="dxa"/>
          </w:tcPr>
          <w:p w:rsidR="006953C7" w:rsidRPr="00B534AA" w:rsidRDefault="006953C7" w:rsidP="00B534AA">
            <w:pPr>
              <w:pStyle w:val="BodyTextIndent"/>
              <w:tabs>
                <w:tab w:val="clear" w:pos="360"/>
                <w:tab w:val="left" w:pos="720"/>
              </w:tabs>
              <w:ind w:left="0"/>
              <w:rPr>
                <w:rFonts w:eastAsia="Calibri"/>
                <w:sz w:val="22"/>
                <w:szCs w:val="22"/>
              </w:rPr>
            </w:pPr>
          </w:p>
        </w:tc>
        <w:tc>
          <w:tcPr>
            <w:tcW w:w="3200" w:type="dxa"/>
          </w:tcPr>
          <w:p w:rsidR="006953C7" w:rsidRPr="00B534AA" w:rsidRDefault="006953C7" w:rsidP="00B534AA">
            <w:pPr>
              <w:pStyle w:val="BodyTextIndent"/>
              <w:tabs>
                <w:tab w:val="clear" w:pos="360"/>
                <w:tab w:val="left" w:pos="720"/>
              </w:tabs>
              <w:ind w:left="0"/>
              <w:rPr>
                <w:rFonts w:eastAsia="Calibri"/>
                <w:sz w:val="22"/>
                <w:szCs w:val="22"/>
              </w:rPr>
            </w:pPr>
          </w:p>
        </w:tc>
        <w:tc>
          <w:tcPr>
            <w:tcW w:w="2430" w:type="dxa"/>
            <w:gridSpan w:val="2"/>
          </w:tcPr>
          <w:p w:rsidR="006953C7" w:rsidRPr="00B534AA" w:rsidRDefault="006953C7" w:rsidP="00B534AA">
            <w:pPr>
              <w:pStyle w:val="BodyTextIndent"/>
              <w:tabs>
                <w:tab w:val="clear" w:pos="360"/>
                <w:tab w:val="left" w:pos="720"/>
              </w:tabs>
              <w:ind w:left="0"/>
              <w:jc w:val="right"/>
              <w:rPr>
                <w:rFonts w:eastAsia="Calibri"/>
                <w:sz w:val="22"/>
                <w:szCs w:val="22"/>
              </w:rPr>
            </w:pPr>
            <w:r w:rsidRPr="00B534AA">
              <w:rPr>
                <w:rFonts w:eastAsia="Calibri"/>
                <w:sz w:val="22"/>
                <w:szCs w:val="22"/>
              </w:rPr>
              <w:t>Individual Quarter</w:t>
            </w:r>
          </w:p>
        </w:tc>
        <w:tc>
          <w:tcPr>
            <w:tcW w:w="360" w:type="dxa"/>
          </w:tcPr>
          <w:p w:rsidR="006953C7" w:rsidRPr="00B534AA" w:rsidRDefault="006953C7" w:rsidP="00B534AA">
            <w:pPr>
              <w:pStyle w:val="BodyTextIndent"/>
              <w:tabs>
                <w:tab w:val="clear" w:pos="360"/>
                <w:tab w:val="left" w:pos="720"/>
              </w:tabs>
              <w:ind w:left="0"/>
              <w:jc w:val="right"/>
              <w:rPr>
                <w:rFonts w:eastAsia="Calibri"/>
                <w:sz w:val="22"/>
                <w:szCs w:val="22"/>
              </w:rPr>
            </w:pPr>
          </w:p>
        </w:tc>
        <w:tc>
          <w:tcPr>
            <w:tcW w:w="2160" w:type="dxa"/>
            <w:gridSpan w:val="2"/>
          </w:tcPr>
          <w:p w:rsidR="006953C7" w:rsidRPr="00B534AA" w:rsidRDefault="006953C7" w:rsidP="00B534AA">
            <w:pPr>
              <w:pStyle w:val="BodyTextIndent"/>
              <w:tabs>
                <w:tab w:val="clear" w:pos="360"/>
                <w:tab w:val="left" w:pos="720"/>
              </w:tabs>
              <w:ind w:left="0"/>
              <w:jc w:val="right"/>
              <w:rPr>
                <w:rFonts w:eastAsia="Calibri"/>
                <w:sz w:val="22"/>
                <w:szCs w:val="22"/>
              </w:rPr>
            </w:pPr>
            <w:r w:rsidRPr="00B534AA">
              <w:rPr>
                <w:rFonts w:eastAsia="Calibri"/>
                <w:sz w:val="22"/>
                <w:szCs w:val="22"/>
              </w:rPr>
              <w:t>Cumulative Quarter</w:t>
            </w: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22"/>
                <w:szCs w:val="22"/>
              </w:rPr>
            </w:pPr>
          </w:p>
        </w:tc>
        <w:tc>
          <w:tcPr>
            <w:tcW w:w="3200" w:type="dxa"/>
          </w:tcPr>
          <w:p w:rsidR="006953C7" w:rsidRPr="00B534AA" w:rsidRDefault="006953C7" w:rsidP="00B534AA">
            <w:pPr>
              <w:pStyle w:val="BodyTextIndent"/>
              <w:tabs>
                <w:tab w:val="clear" w:pos="360"/>
                <w:tab w:val="left" w:pos="720"/>
              </w:tabs>
              <w:ind w:left="0"/>
              <w:rPr>
                <w:rFonts w:eastAsia="Calibri"/>
                <w:sz w:val="22"/>
                <w:szCs w:val="22"/>
              </w:rPr>
            </w:pPr>
          </w:p>
        </w:tc>
        <w:tc>
          <w:tcPr>
            <w:tcW w:w="1350" w:type="dxa"/>
          </w:tcPr>
          <w:p w:rsidR="006953C7" w:rsidRPr="00B534AA" w:rsidRDefault="00EE50AA" w:rsidP="0091081B">
            <w:pPr>
              <w:pStyle w:val="BodyTextIndent"/>
              <w:tabs>
                <w:tab w:val="clear" w:pos="360"/>
                <w:tab w:val="left" w:pos="720"/>
              </w:tabs>
              <w:ind w:left="0"/>
              <w:jc w:val="right"/>
              <w:rPr>
                <w:rFonts w:eastAsia="Calibri"/>
                <w:sz w:val="22"/>
                <w:szCs w:val="22"/>
              </w:rPr>
            </w:pPr>
            <w:r w:rsidRPr="00B534AA">
              <w:rPr>
                <w:rFonts w:eastAsia="Calibri"/>
                <w:sz w:val="22"/>
                <w:szCs w:val="22"/>
              </w:rPr>
              <w:t>3</w:t>
            </w:r>
            <w:r w:rsidR="00A65607">
              <w:rPr>
                <w:rFonts w:eastAsia="Calibri"/>
                <w:sz w:val="22"/>
                <w:szCs w:val="22"/>
              </w:rPr>
              <w:t>0</w:t>
            </w:r>
            <w:r w:rsidR="0037068C">
              <w:rPr>
                <w:rFonts w:eastAsia="Calibri"/>
                <w:sz w:val="22"/>
                <w:szCs w:val="22"/>
              </w:rPr>
              <w:t>.</w:t>
            </w:r>
            <w:r w:rsidR="00730E5C">
              <w:rPr>
                <w:rFonts w:eastAsia="Calibri"/>
                <w:sz w:val="22"/>
                <w:szCs w:val="22"/>
              </w:rPr>
              <w:t>0</w:t>
            </w:r>
            <w:r w:rsidR="0091081B">
              <w:rPr>
                <w:rFonts w:eastAsia="Calibri"/>
                <w:sz w:val="22"/>
                <w:szCs w:val="22"/>
              </w:rPr>
              <w:t>9</w:t>
            </w:r>
            <w:r w:rsidR="00E46FC6">
              <w:rPr>
                <w:rFonts w:eastAsia="Calibri"/>
                <w:sz w:val="22"/>
                <w:szCs w:val="22"/>
              </w:rPr>
              <w:t>.1</w:t>
            </w:r>
            <w:r w:rsidR="00730E5C">
              <w:rPr>
                <w:rFonts w:eastAsia="Calibri"/>
                <w:sz w:val="22"/>
                <w:szCs w:val="22"/>
              </w:rPr>
              <w:t>4</w:t>
            </w:r>
          </w:p>
        </w:tc>
        <w:tc>
          <w:tcPr>
            <w:tcW w:w="1080" w:type="dxa"/>
          </w:tcPr>
          <w:p w:rsidR="006953C7" w:rsidRPr="00B534AA" w:rsidRDefault="00EE50AA" w:rsidP="0091081B">
            <w:pPr>
              <w:pStyle w:val="BodyTextIndent"/>
              <w:tabs>
                <w:tab w:val="clear" w:pos="360"/>
                <w:tab w:val="left" w:pos="720"/>
              </w:tabs>
              <w:ind w:left="0"/>
              <w:jc w:val="right"/>
              <w:rPr>
                <w:rFonts w:eastAsia="Calibri"/>
                <w:sz w:val="22"/>
                <w:szCs w:val="22"/>
              </w:rPr>
            </w:pPr>
            <w:r w:rsidRPr="00B534AA">
              <w:rPr>
                <w:rFonts w:eastAsia="Calibri"/>
                <w:sz w:val="22"/>
                <w:szCs w:val="22"/>
              </w:rPr>
              <w:t>3</w:t>
            </w:r>
            <w:r w:rsidR="00A65607">
              <w:rPr>
                <w:rFonts w:eastAsia="Calibri"/>
                <w:sz w:val="22"/>
                <w:szCs w:val="22"/>
              </w:rPr>
              <w:t>0</w:t>
            </w:r>
            <w:r w:rsidR="0037068C">
              <w:rPr>
                <w:rFonts w:eastAsia="Calibri"/>
                <w:sz w:val="22"/>
                <w:szCs w:val="22"/>
              </w:rPr>
              <w:t>.</w:t>
            </w:r>
            <w:r w:rsidR="00730E5C">
              <w:rPr>
                <w:rFonts w:eastAsia="Calibri"/>
                <w:sz w:val="22"/>
                <w:szCs w:val="22"/>
              </w:rPr>
              <w:t>0</w:t>
            </w:r>
            <w:r w:rsidR="0091081B">
              <w:rPr>
                <w:rFonts w:eastAsia="Calibri"/>
                <w:sz w:val="22"/>
                <w:szCs w:val="22"/>
              </w:rPr>
              <w:t>9</w:t>
            </w:r>
            <w:r w:rsidR="00587977" w:rsidRPr="00B534AA">
              <w:rPr>
                <w:rFonts w:eastAsia="Calibri"/>
                <w:sz w:val="22"/>
                <w:szCs w:val="22"/>
              </w:rPr>
              <w:t>.1</w:t>
            </w:r>
            <w:r w:rsidR="00730E5C">
              <w:rPr>
                <w:rFonts w:eastAsia="Calibri"/>
                <w:sz w:val="22"/>
                <w:szCs w:val="22"/>
              </w:rPr>
              <w:t>3</w:t>
            </w:r>
          </w:p>
        </w:tc>
        <w:tc>
          <w:tcPr>
            <w:tcW w:w="360" w:type="dxa"/>
          </w:tcPr>
          <w:p w:rsidR="006953C7" w:rsidRPr="00B534AA" w:rsidRDefault="006953C7" w:rsidP="00B534AA">
            <w:pPr>
              <w:pStyle w:val="BodyTextIndent"/>
              <w:tabs>
                <w:tab w:val="clear" w:pos="360"/>
                <w:tab w:val="left" w:pos="720"/>
              </w:tabs>
              <w:ind w:left="0"/>
              <w:jc w:val="right"/>
              <w:rPr>
                <w:rFonts w:eastAsia="Calibri"/>
                <w:sz w:val="22"/>
                <w:szCs w:val="22"/>
              </w:rPr>
            </w:pPr>
          </w:p>
        </w:tc>
        <w:tc>
          <w:tcPr>
            <w:tcW w:w="1080" w:type="dxa"/>
          </w:tcPr>
          <w:p w:rsidR="006953C7" w:rsidRPr="00B534AA" w:rsidRDefault="00EE50AA" w:rsidP="0091081B">
            <w:pPr>
              <w:pStyle w:val="BodyTextIndent"/>
              <w:tabs>
                <w:tab w:val="clear" w:pos="360"/>
                <w:tab w:val="left" w:pos="720"/>
              </w:tabs>
              <w:ind w:left="0"/>
              <w:jc w:val="right"/>
              <w:rPr>
                <w:rFonts w:eastAsia="Calibri"/>
                <w:sz w:val="22"/>
                <w:szCs w:val="22"/>
              </w:rPr>
            </w:pPr>
            <w:r w:rsidRPr="00B534AA">
              <w:rPr>
                <w:rFonts w:eastAsia="Calibri"/>
                <w:sz w:val="22"/>
                <w:szCs w:val="22"/>
              </w:rPr>
              <w:t>3</w:t>
            </w:r>
            <w:r w:rsidR="00A65607">
              <w:rPr>
                <w:rFonts w:eastAsia="Calibri"/>
                <w:sz w:val="22"/>
                <w:szCs w:val="22"/>
              </w:rPr>
              <w:t>0</w:t>
            </w:r>
            <w:r w:rsidR="00DA06C0" w:rsidRPr="00B534AA">
              <w:rPr>
                <w:rFonts w:eastAsia="Calibri"/>
                <w:sz w:val="22"/>
                <w:szCs w:val="22"/>
              </w:rPr>
              <w:t>.</w:t>
            </w:r>
            <w:r w:rsidR="007F4244">
              <w:rPr>
                <w:rFonts w:eastAsia="Calibri"/>
                <w:sz w:val="22"/>
                <w:szCs w:val="22"/>
              </w:rPr>
              <w:t>0</w:t>
            </w:r>
            <w:r w:rsidR="0091081B">
              <w:rPr>
                <w:rFonts w:eastAsia="Calibri"/>
                <w:sz w:val="22"/>
                <w:szCs w:val="22"/>
              </w:rPr>
              <w:t>9</w:t>
            </w:r>
            <w:r w:rsidR="00E46FC6">
              <w:rPr>
                <w:rFonts w:eastAsia="Calibri"/>
                <w:sz w:val="22"/>
                <w:szCs w:val="22"/>
              </w:rPr>
              <w:t>.1</w:t>
            </w:r>
            <w:r w:rsidR="007F4244">
              <w:rPr>
                <w:rFonts w:eastAsia="Calibri"/>
                <w:sz w:val="22"/>
                <w:szCs w:val="22"/>
              </w:rPr>
              <w:t>4</w:t>
            </w:r>
          </w:p>
        </w:tc>
        <w:tc>
          <w:tcPr>
            <w:tcW w:w="1080" w:type="dxa"/>
          </w:tcPr>
          <w:p w:rsidR="006953C7" w:rsidRPr="00B534AA" w:rsidRDefault="00EE50AA" w:rsidP="0091081B">
            <w:pPr>
              <w:pStyle w:val="BodyTextIndent"/>
              <w:tabs>
                <w:tab w:val="clear" w:pos="360"/>
                <w:tab w:val="left" w:pos="720"/>
              </w:tabs>
              <w:ind w:left="0"/>
              <w:jc w:val="right"/>
              <w:rPr>
                <w:rFonts w:eastAsia="Calibri"/>
                <w:sz w:val="22"/>
                <w:szCs w:val="22"/>
              </w:rPr>
            </w:pPr>
            <w:r w:rsidRPr="00B534AA">
              <w:rPr>
                <w:rFonts w:eastAsia="Calibri"/>
                <w:sz w:val="22"/>
                <w:szCs w:val="22"/>
              </w:rPr>
              <w:t>3</w:t>
            </w:r>
            <w:r w:rsidR="00A65607">
              <w:rPr>
                <w:rFonts w:eastAsia="Calibri"/>
                <w:sz w:val="22"/>
                <w:szCs w:val="22"/>
              </w:rPr>
              <w:t>0</w:t>
            </w:r>
            <w:r w:rsidR="0040577E">
              <w:rPr>
                <w:rFonts w:eastAsia="Calibri"/>
                <w:sz w:val="22"/>
                <w:szCs w:val="22"/>
              </w:rPr>
              <w:t>.</w:t>
            </w:r>
            <w:r w:rsidR="007F4244">
              <w:rPr>
                <w:rFonts w:eastAsia="Calibri"/>
                <w:sz w:val="22"/>
                <w:szCs w:val="22"/>
              </w:rPr>
              <w:t>0</w:t>
            </w:r>
            <w:r w:rsidR="0091081B">
              <w:rPr>
                <w:rFonts w:eastAsia="Calibri"/>
                <w:sz w:val="22"/>
                <w:szCs w:val="22"/>
              </w:rPr>
              <w:t>9</w:t>
            </w:r>
            <w:r w:rsidR="00464AE6" w:rsidRPr="00B534AA">
              <w:rPr>
                <w:rFonts w:eastAsia="Calibri"/>
                <w:sz w:val="22"/>
                <w:szCs w:val="22"/>
              </w:rPr>
              <w:t>.</w:t>
            </w:r>
            <w:r w:rsidR="00587977" w:rsidRPr="00B534AA">
              <w:rPr>
                <w:rFonts w:eastAsia="Calibri"/>
                <w:sz w:val="22"/>
                <w:szCs w:val="22"/>
              </w:rPr>
              <w:t>1</w:t>
            </w:r>
            <w:r w:rsidR="00D4289E">
              <w:rPr>
                <w:rFonts w:eastAsia="Calibri"/>
                <w:sz w:val="22"/>
                <w:szCs w:val="22"/>
              </w:rPr>
              <w:t>3</w:t>
            </w: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22"/>
                <w:szCs w:val="22"/>
              </w:rPr>
            </w:pPr>
          </w:p>
        </w:tc>
        <w:tc>
          <w:tcPr>
            <w:tcW w:w="3200" w:type="dxa"/>
          </w:tcPr>
          <w:p w:rsidR="006953C7" w:rsidRPr="00B534AA" w:rsidRDefault="006953C7" w:rsidP="00B534AA">
            <w:pPr>
              <w:pStyle w:val="BodyTextIndent"/>
              <w:tabs>
                <w:tab w:val="clear" w:pos="360"/>
                <w:tab w:val="left" w:pos="720"/>
              </w:tabs>
              <w:ind w:left="0"/>
              <w:rPr>
                <w:rFonts w:eastAsia="Calibri"/>
                <w:sz w:val="22"/>
                <w:szCs w:val="22"/>
              </w:rPr>
            </w:pPr>
          </w:p>
        </w:tc>
        <w:tc>
          <w:tcPr>
            <w:tcW w:w="1350" w:type="dxa"/>
          </w:tcPr>
          <w:p w:rsidR="006953C7" w:rsidRPr="00B534AA" w:rsidRDefault="006953C7" w:rsidP="00B534AA">
            <w:pPr>
              <w:pStyle w:val="BodyTextIndent"/>
              <w:tabs>
                <w:tab w:val="clear" w:pos="360"/>
                <w:tab w:val="left" w:pos="720"/>
              </w:tabs>
              <w:ind w:left="0"/>
              <w:jc w:val="right"/>
              <w:rPr>
                <w:rFonts w:eastAsia="Calibri"/>
                <w:sz w:val="22"/>
                <w:szCs w:val="22"/>
              </w:rPr>
            </w:pPr>
            <w:r w:rsidRPr="00B534AA">
              <w:rPr>
                <w:rFonts w:eastAsia="Calibri"/>
                <w:sz w:val="22"/>
                <w:szCs w:val="22"/>
              </w:rPr>
              <w:t>RM’000</w:t>
            </w:r>
          </w:p>
        </w:tc>
        <w:tc>
          <w:tcPr>
            <w:tcW w:w="1080" w:type="dxa"/>
          </w:tcPr>
          <w:p w:rsidR="006953C7" w:rsidRPr="00B534AA" w:rsidRDefault="006953C7" w:rsidP="00B534AA">
            <w:pPr>
              <w:pStyle w:val="BodyTextIndent"/>
              <w:tabs>
                <w:tab w:val="clear" w:pos="360"/>
                <w:tab w:val="left" w:pos="720"/>
              </w:tabs>
              <w:ind w:left="0"/>
              <w:jc w:val="right"/>
              <w:rPr>
                <w:rFonts w:eastAsia="Calibri"/>
                <w:sz w:val="22"/>
                <w:szCs w:val="22"/>
              </w:rPr>
            </w:pPr>
            <w:r w:rsidRPr="00B534AA">
              <w:rPr>
                <w:rFonts w:eastAsia="Calibri"/>
                <w:sz w:val="22"/>
                <w:szCs w:val="22"/>
              </w:rPr>
              <w:t>RM’000</w:t>
            </w:r>
          </w:p>
        </w:tc>
        <w:tc>
          <w:tcPr>
            <w:tcW w:w="360" w:type="dxa"/>
          </w:tcPr>
          <w:p w:rsidR="006953C7" w:rsidRPr="00B534AA" w:rsidRDefault="006953C7" w:rsidP="00B534AA">
            <w:pPr>
              <w:pStyle w:val="BodyTextIndent"/>
              <w:tabs>
                <w:tab w:val="clear" w:pos="360"/>
                <w:tab w:val="left" w:pos="720"/>
              </w:tabs>
              <w:ind w:left="0"/>
              <w:jc w:val="right"/>
              <w:rPr>
                <w:rFonts w:eastAsia="Calibri"/>
                <w:sz w:val="22"/>
                <w:szCs w:val="22"/>
              </w:rPr>
            </w:pPr>
          </w:p>
        </w:tc>
        <w:tc>
          <w:tcPr>
            <w:tcW w:w="1080" w:type="dxa"/>
          </w:tcPr>
          <w:p w:rsidR="006953C7" w:rsidRPr="00B534AA" w:rsidRDefault="006953C7" w:rsidP="00B534AA">
            <w:pPr>
              <w:pStyle w:val="BodyTextIndent"/>
              <w:tabs>
                <w:tab w:val="clear" w:pos="360"/>
                <w:tab w:val="left" w:pos="720"/>
              </w:tabs>
              <w:ind w:left="0"/>
              <w:jc w:val="right"/>
              <w:rPr>
                <w:rFonts w:eastAsia="Calibri"/>
                <w:sz w:val="22"/>
                <w:szCs w:val="22"/>
              </w:rPr>
            </w:pPr>
            <w:r w:rsidRPr="00B534AA">
              <w:rPr>
                <w:rFonts w:eastAsia="Calibri"/>
                <w:sz w:val="22"/>
                <w:szCs w:val="22"/>
              </w:rPr>
              <w:t>RM’000</w:t>
            </w:r>
          </w:p>
        </w:tc>
        <w:tc>
          <w:tcPr>
            <w:tcW w:w="1080" w:type="dxa"/>
          </w:tcPr>
          <w:p w:rsidR="006953C7" w:rsidRPr="00B534AA" w:rsidRDefault="006953C7" w:rsidP="00B534AA">
            <w:pPr>
              <w:pStyle w:val="BodyTextIndent"/>
              <w:tabs>
                <w:tab w:val="clear" w:pos="360"/>
                <w:tab w:val="left" w:pos="720"/>
              </w:tabs>
              <w:ind w:left="0"/>
              <w:jc w:val="right"/>
              <w:rPr>
                <w:rFonts w:eastAsia="Calibri"/>
                <w:sz w:val="22"/>
                <w:szCs w:val="22"/>
              </w:rPr>
            </w:pPr>
            <w:r w:rsidRPr="00B534AA">
              <w:rPr>
                <w:rFonts w:eastAsia="Calibri"/>
                <w:sz w:val="22"/>
                <w:szCs w:val="22"/>
              </w:rPr>
              <w:t>RM’000</w:t>
            </w:r>
          </w:p>
        </w:tc>
      </w:tr>
      <w:tr w:rsidR="00555896" w:rsidRPr="00B534AA">
        <w:tc>
          <w:tcPr>
            <w:tcW w:w="400" w:type="dxa"/>
          </w:tcPr>
          <w:p w:rsidR="006953C7" w:rsidRPr="00B534AA" w:rsidRDefault="0091742F" w:rsidP="00B534AA">
            <w:pPr>
              <w:pStyle w:val="BodyTextIndent"/>
              <w:tabs>
                <w:tab w:val="clear" w:pos="360"/>
                <w:tab w:val="left" w:pos="720"/>
              </w:tabs>
              <w:ind w:left="0"/>
              <w:rPr>
                <w:rFonts w:eastAsia="Calibri"/>
                <w:sz w:val="22"/>
                <w:szCs w:val="22"/>
              </w:rPr>
            </w:pPr>
            <w:r w:rsidRPr="00B534AA">
              <w:rPr>
                <w:rFonts w:eastAsia="Calibri"/>
                <w:sz w:val="22"/>
                <w:szCs w:val="22"/>
              </w:rPr>
              <w:t>a)</w:t>
            </w:r>
          </w:p>
        </w:tc>
        <w:tc>
          <w:tcPr>
            <w:tcW w:w="3200" w:type="dxa"/>
          </w:tcPr>
          <w:p w:rsidR="006953C7" w:rsidRPr="00B534AA" w:rsidRDefault="0091742F" w:rsidP="00B534AA">
            <w:pPr>
              <w:pStyle w:val="BodyTextIndent"/>
              <w:tabs>
                <w:tab w:val="clear" w:pos="360"/>
                <w:tab w:val="left" w:pos="720"/>
              </w:tabs>
              <w:ind w:left="0"/>
              <w:rPr>
                <w:rFonts w:eastAsia="Calibri"/>
                <w:i/>
                <w:sz w:val="22"/>
                <w:szCs w:val="22"/>
              </w:rPr>
            </w:pPr>
            <w:r w:rsidRPr="00B534AA">
              <w:rPr>
                <w:rFonts w:eastAsia="Calibri"/>
                <w:i/>
                <w:sz w:val="22"/>
                <w:szCs w:val="22"/>
              </w:rPr>
              <w:t xml:space="preserve">Basic </w:t>
            </w:r>
            <w:r w:rsidR="008534D3" w:rsidRPr="00B534AA">
              <w:rPr>
                <w:rFonts w:eastAsia="Calibri"/>
                <w:i/>
                <w:sz w:val="22"/>
                <w:szCs w:val="22"/>
              </w:rPr>
              <w:t>Earnings</w:t>
            </w:r>
            <w:r w:rsidRPr="00B534AA">
              <w:rPr>
                <w:rFonts w:eastAsia="Calibri"/>
                <w:i/>
                <w:sz w:val="22"/>
                <w:szCs w:val="22"/>
              </w:rPr>
              <w:t xml:space="preserve"> per Share</w:t>
            </w:r>
          </w:p>
        </w:tc>
        <w:tc>
          <w:tcPr>
            <w:tcW w:w="1350" w:type="dxa"/>
          </w:tcPr>
          <w:p w:rsidR="006953C7" w:rsidRPr="00A173D0"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A173D0" w:rsidRDefault="006953C7" w:rsidP="00B534AA">
            <w:pPr>
              <w:pStyle w:val="BodyTextIndent"/>
              <w:tabs>
                <w:tab w:val="clear" w:pos="360"/>
                <w:tab w:val="left" w:pos="720"/>
              </w:tabs>
              <w:ind w:left="0"/>
              <w:jc w:val="right"/>
              <w:rPr>
                <w:rFonts w:eastAsia="Calibri"/>
                <w:sz w:val="16"/>
                <w:szCs w:val="16"/>
              </w:rPr>
            </w:pPr>
          </w:p>
        </w:tc>
        <w:tc>
          <w:tcPr>
            <w:tcW w:w="360" w:type="dxa"/>
          </w:tcPr>
          <w:p w:rsidR="006953C7" w:rsidRPr="00A173D0"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A173D0"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B534AA" w:rsidRDefault="006953C7" w:rsidP="00B534AA">
            <w:pPr>
              <w:pStyle w:val="BodyTextIndent"/>
              <w:tabs>
                <w:tab w:val="clear" w:pos="360"/>
                <w:tab w:val="left" w:pos="720"/>
              </w:tabs>
              <w:ind w:left="0"/>
              <w:jc w:val="right"/>
              <w:rPr>
                <w:rFonts w:eastAsia="Calibri"/>
                <w:sz w:val="16"/>
                <w:szCs w:val="16"/>
              </w:rPr>
            </w:pP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22"/>
                <w:szCs w:val="22"/>
                <w:highlight w:val="yellow"/>
              </w:rPr>
            </w:pPr>
          </w:p>
        </w:tc>
        <w:tc>
          <w:tcPr>
            <w:tcW w:w="3200" w:type="dxa"/>
          </w:tcPr>
          <w:p w:rsidR="006953C7" w:rsidRPr="00B534AA" w:rsidRDefault="006953C7" w:rsidP="00F07303">
            <w:pPr>
              <w:pStyle w:val="BodyTextIndent"/>
              <w:tabs>
                <w:tab w:val="clear" w:pos="360"/>
                <w:tab w:val="left" w:pos="720"/>
              </w:tabs>
              <w:ind w:left="0"/>
              <w:rPr>
                <w:rFonts w:eastAsia="Calibri"/>
                <w:sz w:val="22"/>
                <w:szCs w:val="22"/>
              </w:rPr>
            </w:pPr>
            <w:r w:rsidRPr="00B534AA">
              <w:rPr>
                <w:rFonts w:eastAsia="Calibri"/>
                <w:sz w:val="22"/>
                <w:szCs w:val="22"/>
              </w:rPr>
              <w:t>Net</w:t>
            </w:r>
            <w:r w:rsidR="008F4B7B" w:rsidRPr="00B534AA">
              <w:rPr>
                <w:rFonts w:eastAsia="Calibri"/>
                <w:sz w:val="22"/>
                <w:szCs w:val="22"/>
              </w:rPr>
              <w:t xml:space="preserve"> </w:t>
            </w:r>
            <w:r w:rsidR="00C10F97" w:rsidRPr="00B534AA">
              <w:rPr>
                <w:rFonts w:eastAsia="Calibri"/>
                <w:sz w:val="22"/>
                <w:szCs w:val="22"/>
              </w:rPr>
              <w:t>profit</w:t>
            </w:r>
            <w:r w:rsidRPr="00B534AA">
              <w:rPr>
                <w:rFonts w:eastAsia="Calibri"/>
                <w:sz w:val="22"/>
                <w:szCs w:val="22"/>
              </w:rPr>
              <w:t xml:space="preserve"> for the period</w:t>
            </w:r>
          </w:p>
        </w:tc>
        <w:tc>
          <w:tcPr>
            <w:tcW w:w="1350" w:type="dxa"/>
          </w:tcPr>
          <w:p w:rsidR="006953C7" w:rsidRPr="00A173D0" w:rsidRDefault="0091081B" w:rsidP="0000006D">
            <w:pPr>
              <w:pStyle w:val="BodyTextIndent"/>
              <w:tabs>
                <w:tab w:val="clear" w:pos="360"/>
                <w:tab w:val="left" w:pos="720"/>
              </w:tabs>
              <w:ind w:left="0"/>
              <w:jc w:val="right"/>
              <w:rPr>
                <w:rFonts w:eastAsia="Calibri"/>
                <w:sz w:val="22"/>
                <w:szCs w:val="22"/>
              </w:rPr>
            </w:pPr>
            <w:r>
              <w:rPr>
                <w:rFonts w:eastAsia="Calibri"/>
                <w:sz w:val="22"/>
                <w:szCs w:val="22"/>
              </w:rPr>
              <w:t>1</w:t>
            </w:r>
            <w:r w:rsidR="0000006D">
              <w:rPr>
                <w:rFonts w:eastAsia="Calibri"/>
                <w:sz w:val="22"/>
                <w:szCs w:val="22"/>
              </w:rPr>
              <w:t>1</w:t>
            </w:r>
            <w:r w:rsidR="00D4289E" w:rsidRPr="00A173D0">
              <w:rPr>
                <w:rFonts w:eastAsia="Calibri"/>
                <w:sz w:val="22"/>
                <w:szCs w:val="22"/>
              </w:rPr>
              <w:t>,</w:t>
            </w:r>
            <w:r w:rsidR="0000006D">
              <w:rPr>
                <w:rFonts w:eastAsia="Calibri"/>
                <w:sz w:val="22"/>
                <w:szCs w:val="22"/>
              </w:rPr>
              <w:t>222</w:t>
            </w:r>
          </w:p>
        </w:tc>
        <w:tc>
          <w:tcPr>
            <w:tcW w:w="1080" w:type="dxa"/>
          </w:tcPr>
          <w:p w:rsidR="006953C7" w:rsidRPr="00B3785C" w:rsidRDefault="00B3785C" w:rsidP="00D4289E">
            <w:pPr>
              <w:pStyle w:val="BodyTextIndent"/>
              <w:tabs>
                <w:tab w:val="clear" w:pos="360"/>
                <w:tab w:val="left" w:pos="720"/>
              </w:tabs>
              <w:ind w:left="0"/>
              <w:jc w:val="right"/>
              <w:rPr>
                <w:rFonts w:eastAsia="Calibri"/>
                <w:sz w:val="22"/>
                <w:szCs w:val="22"/>
              </w:rPr>
            </w:pPr>
            <w:r w:rsidRPr="00B3785C">
              <w:rPr>
                <w:rFonts w:eastAsia="Calibri"/>
                <w:sz w:val="22"/>
                <w:szCs w:val="22"/>
              </w:rPr>
              <w:t>11,233</w:t>
            </w:r>
          </w:p>
        </w:tc>
        <w:tc>
          <w:tcPr>
            <w:tcW w:w="360" w:type="dxa"/>
          </w:tcPr>
          <w:p w:rsidR="006953C7" w:rsidRPr="00A173D0" w:rsidRDefault="006953C7" w:rsidP="00B534AA">
            <w:pPr>
              <w:pStyle w:val="BodyTextIndent"/>
              <w:tabs>
                <w:tab w:val="clear" w:pos="360"/>
                <w:tab w:val="left" w:pos="720"/>
              </w:tabs>
              <w:ind w:left="0"/>
              <w:jc w:val="right"/>
              <w:rPr>
                <w:rFonts w:eastAsia="Calibri"/>
                <w:sz w:val="22"/>
                <w:szCs w:val="22"/>
              </w:rPr>
            </w:pPr>
          </w:p>
        </w:tc>
        <w:tc>
          <w:tcPr>
            <w:tcW w:w="1080" w:type="dxa"/>
          </w:tcPr>
          <w:p w:rsidR="006953C7" w:rsidRPr="00A173D0" w:rsidRDefault="0091081B" w:rsidP="00492921">
            <w:pPr>
              <w:pStyle w:val="BodyTextIndent"/>
              <w:tabs>
                <w:tab w:val="clear" w:pos="360"/>
                <w:tab w:val="left" w:pos="720"/>
              </w:tabs>
              <w:ind w:left="0"/>
              <w:jc w:val="right"/>
              <w:rPr>
                <w:rFonts w:eastAsia="Calibri"/>
                <w:sz w:val="22"/>
                <w:szCs w:val="22"/>
              </w:rPr>
            </w:pPr>
            <w:r>
              <w:rPr>
                <w:rFonts w:eastAsia="Calibri"/>
                <w:sz w:val="22"/>
                <w:szCs w:val="22"/>
              </w:rPr>
              <w:t>3</w:t>
            </w:r>
            <w:r w:rsidR="00492921">
              <w:rPr>
                <w:rFonts w:eastAsia="Calibri"/>
                <w:sz w:val="22"/>
                <w:szCs w:val="22"/>
              </w:rPr>
              <w:t>3</w:t>
            </w:r>
            <w:r>
              <w:rPr>
                <w:rFonts w:eastAsia="Calibri"/>
                <w:sz w:val="22"/>
                <w:szCs w:val="22"/>
              </w:rPr>
              <w:t>,</w:t>
            </w:r>
            <w:r w:rsidR="00492921">
              <w:rPr>
                <w:rFonts w:eastAsia="Calibri"/>
                <w:sz w:val="22"/>
                <w:szCs w:val="22"/>
              </w:rPr>
              <w:t>451</w:t>
            </w:r>
          </w:p>
        </w:tc>
        <w:tc>
          <w:tcPr>
            <w:tcW w:w="1080" w:type="dxa"/>
          </w:tcPr>
          <w:p w:rsidR="006953C7" w:rsidRPr="00317A45" w:rsidRDefault="00317A45" w:rsidP="00317A45">
            <w:pPr>
              <w:pStyle w:val="BodyTextIndent"/>
              <w:tabs>
                <w:tab w:val="clear" w:pos="360"/>
                <w:tab w:val="left" w:pos="720"/>
              </w:tabs>
              <w:ind w:left="0"/>
              <w:jc w:val="right"/>
              <w:rPr>
                <w:rFonts w:eastAsia="Calibri"/>
                <w:sz w:val="22"/>
                <w:szCs w:val="22"/>
              </w:rPr>
            </w:pPr>
            <w:r w:rsidRPr="00317A45">
              <w:rPr>
                <w:rFonts w:eastAsia="Calibri"/>
                <w:sz w:val="22"/>
                <w:szCs w:val="22"/>
              </w:rPr>
              <w:t>14</w:t>
            </w:r>
            <w:r w:rsidR="00E86339" w:rsidRPr="00317A45">
              <w:rPr>
                <w:rFonts w:eastAsia="Calibri"/>
                <w:sz w:val="22"/>
                <w:szCs w:val="22"/>
              </w:rPr>
              <w:t>,</w:t>
            </w:r>
            <w:r w:rsidRPr="00317A45">
              <w:rPr>
                <w:rFonts w:eastAsia="Calibri"/>
                <w:sz w:val="22"/>
                <w:szCs w:val="22"/>
              </w:rPr>
              <w:t>943</w:t>
            </w: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16"/>
                <w:szCs w:val="16"/>
                <w:highlight w:val="yellow"/>
              </w:rPr>
            </w:pPr>
          </w:p>
        </w:tc>
        <w:tc>
          <w:tcPr>
            <w:tcW w:w="3200" w:type="dxa"/>
          </w:tcPr>
          <w:p w:rsidR="006953C7" w:rsidRPr="00B534AA" w:rsidRDefault="006953C7" w:rsidP="00B534AA">
            <w:pPr>
              <w:pStyle w:val="BodyTextIndent"/>
              <w:tabs>
                <w:tab w:val="clear" w:pos="360"/>
                <w:tab w:val="left" w:pos="720"/>
              </w:tabs>
              <w:ind w:left="0"/>
              <w:rPr>
                <w:rFonts w:eastAsia="Calibri"/>
                <w:sz w:val="16"/>
                <w:szCs w:val="16"/>
              </w:rPr>
            </w:pPr>
          </w:p>
        </w:tc>
        <w:tc>
          <w:tcPr>
            <w:tcW w:w="1350" w:type="dxa"/>
          </w:tcPr>
          <w:p w:rsidR="006953C7" w:rsidRPr="00A173D0"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B3785C" w:rsidRDefault="006953C7" w:rsidP="00B534AA">
            <w:pPr>
              <w:pStyle w:val="BodyTextIndent"/>
              <w:tabs>
                <w:tab w:val="clear" w:pos="360"/>
                <w:tab w:val="left" w:pos="720"/>
              </w:tabs>
              <w:ind w:left="0"/>
              <w:jc w:val="right"/>
              <w:rPr>
                <w:rFonts w:eastAsia="Calibri"/>
                <w:sz w:val="16"/>
                <w:szCs w:val="16"/>
              </w:rPr>
            </w:pPr>
          </w:p>
        </w:tc>
        <w:tc>
          <w:tcPr>
            <w:tcW w:w="360" w:type="dxa"/>
          </w:tcPr>
          <w:p w:rsidR="006953C7" w:rsidRPr="00A173D0"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A173D0"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317A45" w:rsidRDefault="006953C7" w:rsidP="00B534AA">
            <w:pPr>
              <w:pStyle w:val="BodyTextIndent"/>
              <w:tabs>
                <w:tab w:val="clear" w:pos="360"/>
                <w:tab w:val="left" w:pos="720"/>
              </w:tabs>
              <w:ind w:left="0"/>
              <w:jc w:val="right"/>
              <w:rPr>
                <w:rFonts w:eastAsia="Calibri"/>
                <w:sz w:val="16"/>
                <w:szCs w:val="16"/>
              </w:rPr>
            </w:pP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22"/>
                <w:szCs w:val="22"/>
                <w:highlight w:val="yellow"/>
              </w:rPr>
            </w:pPr>
          </w:p>
        </w:tc>
        <w:tc>
          <w:tcPr>
            <w:tcW w:w="3200" w:type="dxa"/>
          </w:tcPr>
          <w:p w:rsidR="006953C7" w:rsidRPr="00B534AA" w:rsidRDefault="006953C7" w:rsidP="00B534AA">
            <w:pPr>
              <w:pStyle w:val="BodyTextIndent"/>
              <w:tabs>
                <w:tab w:val="clear" w:pos="360"/>
                <w:tab w:val="left" w:pos="720"/>
              </w:tabs>
              <w:ind w:left="0"/>
              <w:rPr>
                <w:rFonts w:eastAsia="Calibri"/>
                <w:sz w:val="22"/>
                <w:szCs w:val="22"/>
              </w:rPr>
            </w:pPr>
            <w:r w:rsidRPr="00B534AA">
              <w:rPr>
                <w:rFonts w:eastAsia="Calibri"/>
                <w:sz w:val="22"/>
                <w:szCs w:val="22"/>
              </w:rPr>
              <w:t>Weighted average number of ordinary shares</w:t>
            </w:r>
          </w:p>
        </w:tc>
        <w:tc>
          <w:tcPr>
            <w:tcW w:w="1350" w:type="dxa"/>
          </w:tcPr>
          <w:p w:rsidR="006953C7" w:rsidRPr="00A173D0" w:rsidRDefault="004D4CF5" w:rsidP="0091081B">
            <w:pPr>
              <w:pStyle w:val="BodyTextIndent"/>
              <w:tabs>
                <w:tab w:val="clear" w:pos="360"/>
                <w:tab w:val="left" w:pos="720"/>
              </w:tabs>
              <w:ind w:left="0"/>
              <w:jc w:val="right"/>
              <w:rPr>
                <w:rFonts w:eastAsia="Calibri"/>
                <w:sz w:val="22"/>
                <w:szCs w:val="22"/>
              </w:rPr>
            </w:pPr>
            <w:r w:rsidRPr="00A173D0">
              <w:rPr>
                <w:rFonts w:eastAsia="Calibri"/>
                <w:sz w:val="22"/>
                <w:szCs w:val="22"/>
              </w:rPr>
              <w:t>77,8</w:t>
            </w:r>
            <w:r w:rsidR="00A173D0" w:rsidRPr="00A173D0">
              <w:rPr>
                <w:rFonts w:eastAsia="Calibri"/>
                <w:sz w:val="22"/>
                <w:szCs w:val="22"/>
              </w:rPr>
              <w:t>0</w:t>
            </w:r>
            <w:r w:rsidR="0091081B">
              <w:rPr>
                <w:rFonts w:eastAsia="Calibri"/>
                <w:sz w:val="22"/>
                <w:szCs w:val="22"/>
              </w:rPr>
              <w:t>9</w:t>
            </w:r>
          </w:p>
        </w:tc>
        <w:tc>
          <w:tcPr>
            <w:tcW w:w="1080" w:type="dxa"/>
          </w:tcPr>
          <w:p w:rsidR="006953C7" w:rsidRPr="00B3785C" w:rsidRDefault="00097873" w:rsidP="00470096">
            <w:pPr>
              <w:pStyle w:val="BodyTextIndent"/>
              <w:tabs>
                <w:tab w:val="clear" w:pos="360"/>
                <w:tab w:val="left" w:pos="720"/>
              </w:tabs>
              <w:ind w:left="0"/>
              <w:jc w:val="right"/>
              <w:rPr>
                <w:rFonts w:eastAsia="Calibri"/>
                <w:sz w:val="22"/>
                <w:szCs w:val="22"/>
              </w:rPr>
            </w:pPr>
            <w:r w:rsidRPr="00B3785C">
              <w:rPr>
                <w:rFonts w:eastAsia="Calibri"/>
                <w:sz w:val="22"/>
                <w:szCs w:val="22"/>
              </w:rPr>
              <w:t>7</w:t>
            </w:r>
            <w:r w:rsidR="00CE5667" w:rsidRPr="00B3785C">
              <w:rPr>
                <w:rFonts w:eastAsia="Calibri"/>
                <w:sz w:val="22"/>
                <w:szCs w:val="22"/>
              </w:rPr>
              <w:t>7</w:t>
            </w:r>
            <w:r w:rsidR="00735875" w:rsidRPr="00B3785C">
              <w:rPr>
                <w:rFonts w:eastAsia="Calibri"/>
                <w:sz w:val="22"/>
                <w:szCs w:val="22"/>
              </w:rPr>
              <w:t>,</w:t>
            </w:r>
            <w:r w:rsidR="00E86339" w:rsidRPr="00B3785C">
              <w:rPr>
                <w:rFonts w:eastAsia="Calibri"/>
                <w:sz w:val="22"/>
                <w:szCs w:val="22"/>
              </w:rPr>
              <w:t>7</w:t>
            </w:r>
            <w:r w:rsidR="00470096" w:rsidRPr="00B3785C">
              <w:rPr>
                <w:rFonts w:eastAsia="Calibri"/>
                <w:sz w:val="22"/>
                <w:szCs w:val="22"/>
              </w:rPr>
              <w:t>8</w:t>
            </w:r>
            <w:r w:rsidR="00B3785C" w:rsidRPr="00B3785C">
              <w:rPr>
                <w:rFonts w:eastAsia="Calibri"/>
                <w:sz w:val="22"/>
                <w:szCs w:val="22"/>
              </w:rPr>
              <w:t>7</w:t>
            </w:r>
          </w:p>
        </w:tc>
        <w:tc>
          <w:tcPr>
            <w:tcW w:w="360" w:type="dxa"/>
          </w:tcPr>
          <w:p w:rsidR="006953C7" w:rsidRPr="00A173D0" w:rsidRDefault="006953C7" w:rsidP="00B534AA">
            <w:pPr>
              <w:pStyle w:val="BodyTextIndent"/>
              <w:tabs>
                <w:tab w:val="clear" w:pos="360"/>
                <w:tab w:val="left" w:pos="720"/>
              </w:tabs>
              <w:ind w:left="0"/>
              <w:jc w:val="right"/>
              <w:rPr>
                <w:rFonts w:eastAsia="Calibri"/>
                <w:sz w:val="22"/>
                <w:szCs w:val="22"/>
              </w:rPr>
            </w:pPr>
          </w:p>
        </w:tc>
        <w:tc>
          <w:tcPr>
            <w:tcW w:w="1080" w:type="dxa"/>
          </w:tcPr>
          <w:p w:rsidR="006953C7" w:rsidRPr="00A173D0" w:rsidRDefault="00ED0FA6" w:rsidP="0091081B">
            <w:pPr>
              <w:pStyle w:val="BodyTextIndent"/>
              <w:tabs>
                <w:tab w:val="clear" w:pos="360"/>
                <w:tab w:val="left" w:pos="720"/>
              </w:tabs>
              <w:ind w:left="0"/>
              <w:jc w:val="right"/>
              <w:rPr>
                <w:rFonts w:eastAsia="Calibri"/>
                <w:sz w:val="22"/>
                <w:szCs w:val="22"/>
              </w:rPr>
            </w:pPr>
            <w:r w:rsidRPr="00A173D0">
              <w:rPr>
                <w:rFonts w:eastAsia="Calibri"/>
                <w:sz w:val="22"/>
                <w:szCs w:val="22"/>
              </w:rPr>
              <w:t>77,</w:t>
            </w:r>
            <w:r w:rsidR="00CE4002" w:rsidRPr="00A173D0">
              <w:rPr>
                <w:rFonts w:eastAsia="Calibri"/>
                <w:sz w:val="22"/>
                <w:szCs w:val="22"/>
              </w:rPr>
              <w:t>7</w:t>
            </w:r>
            <w:r w:rsidR="00A173D0" w:rsidRPr="00A173D0">
              <w:rPr>
                <w:rFonts w:eastAsia="Calibri"/>
                <w:sz w:val="22"/>
                <w:szCs w:val="22"/>
              </w:rPr>
              <w:t>9</w:t>
            </w:r>
            <w:r w:rsidR="0091081B">
              <w:rPr>
                <w:rFonts w:eastAsia="Calibri"/>
                <w:sz w:val="22"/>
                <w:szCs w:val="22"/>
              </w:rPr>
              <w:t>4</w:t>
            </w:r>
          </w:p>
        </w:tc>
        <w:tc>
          <w:tcPr>
            <w:tcW w:w="1080" w:type="dxa"/>
          </w:tcPr>
          <w:p w:rsidR="006953C7" w:rsidRPr="00317A45" w:rsidRDefault="00EA2BDF" w:rsidP="00470096">
            <w:pPr>
              <w:pStyle w:val="BodyTextIndent"/>
              <w:tabs>
                <w:tab w:val="clear" w:pos="360"/>
                <w:tab w:val="left" w:pos="720"/>
              </w:tabs>
              <w:ind w:left="0"/>
              <w:jc w:val="right"/>
              <w:rPr>
                <w:rFonts w:eastAsia="Calibri"/>
                <w:sz w:val="22"/>
                <w:szCs w:val="22"/>
              </w:rPr>
            </w:pPr>
            <w:r w:rsidRPr="00317A45">
              <w:rPr>
                <w:rFonts w:eastAsia="Calibri"/>
                <w:sz w:val="22"/>
                <w:szCs w:val="22"/>
              </w:rPr>
              <w:t>7</w:t>
            </w:r>
            <w:r w:rsidR="00CE5667" w:rsidRPr="00317A45">
              <w:rPr>
                <w:rFonts w:eastAsia="Calibri"/>
                <w:sz w:val="22"/>
                <w:szCs w:val="22"/>
              </w:rPr>
              <w:t>7,</w:t>
            </w:r>
            <w:r w:rsidR="00E86339" w:rsidRPr="00317A45">
              <w:rPr>
                <w:rFonts w:eastAsia="Calibri"/>
                <w:sz w:val="22"/>
                <w:szCs w:val="22"/>
              </w:rPr>
              <w:t>7</w:t>
            </w:r>
            <w:r w:rsidR="00317A45" w:rsidRPr="00317A45">
              <w:rPr>
                <w:rFonts w:eastAsia="Calibri"/>
                <w:sz w:val="22"/>
                <w:szCs w:val="22"/>
              </w:rPr>
              <w:t>85</w:t>
            </w: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16"/>
                <w:szCs w:val="16"/>
                <w:highlight w:val="yellow"/>
              </w:rPr>
            </w:pPr>
          </w:p>
        </w:tc>
        <w:tc>
          <w:tcPr>
            <w:tcW w:w="3200" w:type="dxa"/>
          </w:tcPr>
          <w:p w:rsidR="006953C7" w:rsidRPr="00B534AA" w:rsidRDefault="006953C7" w:rsidP="00B534AA">
            <w:pPr>
              <w:pStyle w:val="BodyTextIndent"/>
              <w:tabs>
                <w:tab w:val="clear" w:pos="360"/>
                <w:tab w:val="left" w:pos="720"/>
              </w:tabs>
              <w:ind w:left="0"/>
              <w:rPr>
                <w:rFonts w:eastAsia="Calibri"/>
                <w:sz w:val="16"/>
                <w:szCs w:val="16"/>
              </w:rPr>
            </w:pPr>
          </w:p>
        </w:tc>
        <w:tc>
          <w:tcPr>
            <w:tcW w:w="1350" w:type="dxa"/>
          </w:tcPr>
          <w:p w:rsidR="006953C7" w:rsidRPr="00A173D0"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B3785C" w:rsidRDefault="006953C7" w:rsidP="00B534AA">
            <w:pPr>
              <w:pStyle w:val="BodyTextIndent"/>
              <w:tabs>
                <w:tab w:val="clear" w:pos="360"/>
                <w:tab w:val="left" w:pos="720"/>
              </w:tabs>
              <w:ind w:left="0"/>
              <w:jc w:val="right"/>
              <w:rPr>
                <w:rFonts w:eastAsia="Calibri"/>
                <w:sz w:val="16"/>
                <w:szCs w:val="16"/>
              </w:rPr>
            </w:pPr>
          </w:p>
        </w:tc>
        <w:tc>
          <w:tcPr>
            <w:tcW w:w="360" w:type="dxa"/>
          </w:tcPr>
          <w:p w:rsidR="006953C7" w:rsidRPr="00A173D0"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A173D0" w:rsidRDefault="006953C7" w:rsidP="00B534AA">
            <w:pPr>
              <w:pStyle w:val="BodyTextIndent"/>
              <w:tabs>
                <w:tab w:val="clear" w:pos="360"/>
                <w:tab w:val="left" w:pos="720"/>
              </w:tabs>
              <w:ind w:left="0"/>
              <w:jc w:val="right"/>
              <w:rPr>
                <w:rFonts w:eastAsia="Calibri"/>
                <w:sz w:val="16"/>
                <w:szCs w:val="16"/>
              </w:rPr>
            </w:pPr>
          </w:p>
        </w:tc>
        <w:tc>
          <w:tcPr>
            <w:tcW w:w="1080" w:type="dxa"/>
          </w:tcPr>
          <w:p w:rsidR="006953C7" w:rsidRPr="00317A45" w:rsidRDefault="006953C7" w:rsidP="00B534AA">
            <w:pPr>
              <w:pStyle w:val="BodyTextIndent"/>
              <w:tabs>
                <w:tab w:val="clear" w:pos="360"/>
                <w:tab w:val="left" w:pos="720"/>
              </w:tabs>
              <w:ind w:left="0"/>
              <w:jc w:val="right"/>
              <w:rPr>
                <w:rFonts w:eastAsia="Calibri"/>
                <w:sz w:val="16"/>
                <w:szCs w:val="16"/>
              </w:rPr>
            </w:pPr>
          </w:p>
        </w:tc>
      </w:tr>
      <w:tr w:rsidR="00555896" w:rsidRPr="00B534AA">
        <w:tc>
          <w:tcPr>
            <w:tcW w:w="400" w:type="dxa"/>
          </w:tcPr>
          <w:p w:rsidR="006953C7" w:rsidRPr="00B534AA" w:rsidRDefault="006953C7" w:rsidP="00B534AA">
            <w:pPr>
              <w:pStyle w:val="BodyTextIndent"/>
              <w:tabs>
                <w:tab w:val="clear" w:pos="360"/>
                <w:tab w:val="left" w:pos="720"/>
              </w:tabs>
              <w:ind w:left="0"/>
              <w:rPr>
                <w:rFonts w:eastAsia="Calibri"/>
                <w:sz w:val="22"/>
                <w:szCs w:val="22"/>
                <w:highlight w:val="yellow"/>
              </w:rPr>
            </w:pPr>
          </w:p>
        </w:tc>
        <w:tc>
          <w:tcPr>
            <w:tcW w:w="3200" w:type="dxa"/>
          </w:tcPr>
          <w:p w:rsidR="006953C7" w:rsidRPr="00B534AA" w:rsidRDefault="007102F2" w:rsidP="00F07303">
            <w:pPr>
              <w:pStyle w:val="BodyTextIndent"/>
              <w:tabs>
                <w:tab w:val="clear" w:pos="360"/>
                <w:tab w:val="left" w:pos="720"/>
              </w:tabs>
              <w:ind w:left="0"/>
              <w:rPr>
                <w:rFonts w:eastAsia="Calibri"/>
                <w:sz w:val="22"/>
                <w:szCs w:val="22"/>
              </w:rPr>
            </w:pPr>
            <w:r w:rsidRPr="00B534AA">
              <w:rPr>
                <w:rFonts w:eastAsia="Calibri"/>
                <w:sz w:val="22"/>
                <w:szCs w:val="22"/>
              </w:rPr>
              <w:t xml:space="preserve">Basic </w:t>
            </w:r>
            <w:r w:rsidR="008534D3" w:rsidRPr="00B534AA">
              <w:rPr>
                <w:rFonts w:eastAsia="Calibri"/>
                <w:sz w:val="22"/>
                <w:szCs w:val="22"/>
              </w:rPr>
              <w:t>Earnings</w:t>
            </w:r>
            <w:r w:rsidR="006953C7" w:rsidRPr="00B534AA">
              <w:rPr>
                <w:rFonts w:eastAsia="Calibri"/>
                <w:sz w:val="22"/>
                <w:szCs w:val="22"/>
              </w:rPr>
              <w:t xml:space="preserve"> per share (sen)</w:t>
            </w:r>
          </w:p>
        </w:tc>
        <w:tc>
          <w:tcPr>
            <w:tcW w:w="1350" w:type="dxa"/>
          </w:tcPr>
          <w:p w:rsidR="006953C7" w:rsidRPr="00A173D0" w:rsidRDefault="00A173D0" w:rsidP="0000006D">
            <w:pPr>
              <w:pStyle w:val="BodyTextIndent"/>
              <w:tabs>
                <w:tab w:val="clear" w:pos="360"/>
                <w:tab w:val="left" w:pos="720"/>
              </w:tabs>
              <w:ind w:left="0"/>
              <w:jc w:val="right"/>
              <w:rPr>
                <w:rFonts w:eastAsia="Calibri"/>
                <w:sz w:val="22"/>
                <w:szCs w:val="22"/>
              </w:rPr>
            </w:pPr>
            <w:r w:rsidRPr="00A173D0">
              <w:rPr>
                <w:rFonts w:eastAsia="Calibri"/>
                <w:sz w:val="22"/>
                <w:szCs w:val="22"/>
              </w:rPr>
              <w:t>1</w:t>
            </w:r>
            <w:r w:rsidR="0000006D">
              <w:rPr>
                <w:rFonts w:eastAsia="Calibri"/>
                <w:sz w:val="22"/>
                <w:szCs w:val="22"/>
              </w:rPr>
              <w:t>4</w:t>
            </w:r>
            <w:r w:rsidR="004D4CF5" w:rsidRPr="00A173D0">
              <w:rPr>
                <w:rFonts w:eastAsia="Calibri"/>
                <w:sz w:val="22"/>
                <w:szCs w:val="22"/>
              </w:rPr>
              <w:t>.</w:t>
            </w:r>
            <w:r w:rsidR="0000006D">
              <w:rPr>
                <w:rFonts w:eastAsia="Calibri"/>
                <w:sz w:val="22"/>
                <w:szCs w:val="22"/>
              </w:rPr>
              <w:t>4</w:t>
            </w:r>
            <w:r w:rsidR="0091081B">
              <w:rPr>
                <w:rFonts w:eastAsia="Calibri"/>
                <w:sz w:val="22"/>
                <w:szCs w:val="22"/>
              </w:rPr>
              <w:t>2</w:t>
            </w:r>
          </w:p>
        </w:tc>
        <w:tc>
          <w:tcPr>
            <w:tcW w:w="1080" w:type="dxa"/>
          </w:tcPr>
          <w:p w:rsidR="006953C7" w:rsidRPr="00B3785C" w:rsidRDefault="00B3785C" w:rsidP="00D4289E">
            <w:pPr>
              <w:pStyle w:val="BodyTextIndent"/>
              <w:tabs>
                <w:tab w:val="clear" w:pos="360"/>
                <w:tab w:val="left" w:pos="720"/>
              </w:tabs>
              <w:ind w:left="0"/>
              <w:jc w:val="right"/>
              <w:rPr>
                <w:rFonts w:eastAsia="Calibri"/>
                <w:sz w:val="22"/>
                <w:szCs w:val="22"/>
              </w:rPr>
            </w:pPr>
            <w:r w:rsidRPr="00B3785C">
              <w:rPr>
                <w:rFonts w:eastAsia="Calibri"/>
                <w:sz w:val="22"/>
                <w:szCs w:val="22"/>
              </w:rPr>
              <w:t>14.44</w:t>
            </w:r>
          </w:p>
        </w:tc>
        <w:tc>
          <w:tcPr>
            <w:tcW w:w="360" w:type="dxa"/>
          </w:tcPr>
          <w:p w:rsidR="006953C7" w:rsidRPr="00A173D0" w:rsidRDefault="006953C7" w:rsidP="00B534AA">
            <w:pPr>
              <w:pStyle w:val="BodyTextIndent"/>
              <w:tabs>
                <w:tab w:val="clear" w:pos="360"/>
                <w:tab w:val="left" w:pos="720"/>
              </w:tabs>
              <w:ind w:left="0"/>
              <w:jc w:val="right"/>
              <w:rPr>
                <w:rFonts w:eastAsia="Calibri"/>
                <w:sz w:val="22"/>
                <w:szCs w:val="22"/>
              </w:rPr>
            </w:pPr>
          </w:p>
        </w:tc>
        <w:tc>
          <w:tcPr>
            <w:tcW w:w="1080" w:type="dxa"/>
          </w:tcPr>
          <w:p w:rsidR="006953C7" w:rsidRPr="00A173D0" w:rsidRDefault="00E23BE2" w:rsidP="0000006D">
            <w:pPr>
              <w:pStyle w:val="BodyTextIndent"/>
              <w:tabs>
                <w:tab w:val="clear" w:pos="360"/>
                <w:tab w:val="left" w:pos="720"/>
              </w:tabs>
              <w:ind w:left="0"/>
              <w:jc w:val="right"/>
              <w:rPr>
                <w:rFonts w:eastAsia="Calibri"/>
                <w:sz w:val="22"/>
                <w:szCs w:val="22"/>
              </w:rPr>
            </w:pPr>
            <w:r>
              <w:rPr>
                <w:rFonts w:eastAsia="Calibri"/>
                <w:sz w:val="22"/>
                <w:szCs w:val="22"/>
              </w:rPr>
              <w:t>4</w:t>
            </w:r>
            <w:r w:rsidR="0000006D">
              <w:rPr>
                <w:rFonts w:eastAsia="Calibri"/>
                <w:sz w:val="22"/>
                <w:szCs w:val="22"/>
              </w:rPr>
              <w:t>3</w:t>
            </w:r>
            <w:r w:rsidR="00A173D0" w:rsidRPr="00A173D0">
              <w:rPr>
                <w:rFonts w:eastAsia="Calibri"/>
                <w:sz w:val="22"/>
                <w:szCs w:val="22"/>
              </w:rPr>
              <w:t>.</w:t>
            </w:r>
            <w:r w:rsidR="0000006D">
              <w:rPr>
                <w:rFonts w:eastAsia="Calibri"/>
                <w:sz w:val="22"/>
                <w:szCs w:val="22"/>
              </w:rPr>
              <w:t>00</w:t>
            </w:r>
          </w:p>
        </w:tc>
        <w:tc>
          <w:tcPr>
            <w:tcW w:w="1080" w:type="dxa"/>
          </w:tcPr>
          <w:p w:rsidR="006953C7" w:rsidRPr="00317A45" w:rsidRDefault="00317A45" w:rsidP="00D4289E">
            <w:pPr>
              <w:pStyle w:val="BodyTextIndent"/>
              <w:tabs>
                <w:tab w:val="clear" w:pos="360"/>
                <w:tab w:val="left" w:pos="720"/>
              </w:tabs>
              <w:ind w:left="0"/>
              <w:jc w:val="right"/>
              <w:rPr>
                <w:rFonts w:eastAsia="Calibri"/>
                <w:sz w:val="22"/>
                <w:szCs w:val="22"/>
              </w:rPr>
            </w:pPr>
            <w:r w:rsidRPr="00317A45">
              <w:rPr>
                <w:rFonts w:eastAsia="Calibri"/>
                <w:sz w:val="22"/>
                <w:szCs w:val="22"/>
              </w:rPr>
              <w:t>19.21</w:t>
            </w:r>
          </w:p>
        </w:tc>
      </w:tr>
      <w:tr w:rsidR="001F34CA" w:rsidRPr="00B534AA">
        <w:tc>
          <w:tcPr>
            <w:tcW w:w="400" w:type="dxa"/>
          </w:tcPr>
          <w:p w:rsidR="001F34CA" w:rsidRPr="00B534AA" w:rsidRDefault="001F34CA" w:rsidP="00B534AA">
            <w:pPr>
              <w:pStyle w:val="BodyTextIndent"/>
              <w:tabs>
                <w:tab w:val="clear" w:pos="360"/>
                <w:tab w:val="left" w:pos="720"/>
              </w:tabs>
              <w:ind w:left="0"/>
              <w:rPr>
                <w:rFonts w:ascii="Calibri" w:eastAsia="Calibri" w:hAnsi="Calibri"/>
                <w:sz w:val="22"/>
                <w:szCs w:val="22"/>
                <w:highlight w:val="yellow"/>
              </w:rPr>
            </w:pPr>
          </w:p>
        </w:tc>
        <w:tc>
          <w:tcPr>
            <w:tcW w:w="3200" w:type="dxa"/>
          </w:tcPr>
          <w:p w:rsidR="001F34CA" w:rsidRPr="00B534AA" w:rsidRDefault="001F34CA" w:rsidP="00B534AA">
            <w:pPr>
              <w:pStyle w:val="BodyTextIndent"/>
              <w:tabs>
                <w:tab w:val="clear" w:pos="360"/>
                <w:tab w:val="left" w:pos="720"/>
              </w:tabs>
              <w:ind w:left="0"/>
              <w:rPr>
                <w:rFonts w:ascii="Calibri" w:eastAsia="Calibri" w:hAnsi="Calibri"/>
                <w:sz w:val="22"/>
                <w:szCs w:val="22"/>
              </w:rPr>
            </w:pPr>
          </w:p>
        </w:tc>
        <w:tc>
          <w:tcPr>
            <w:tcW w:w="1350" w:type="dxa"/>
          </w:tcPr>
          <w:p w:rsidR="001F34CA" w:rsidRPr="00A173D0" w:rsidRDefault="001F34CA" w:rsidP="00B534AA">
            <w:pPr>
              <w:pStyle w:val="BodyTextIndent"/>
              <w:tabs>
                <w:tab w:val="clear" w:pos="360"/>
                <w:tab w:val="left" w:pos="720"/>
              </w:tabs>
              <w:ind w:left="0"/>
              <w:jc w:val="right"/>
              <w:rPr>
                <w:rFonts w:ascii="Calibri" w:eastAsia="Calibri" w:hAnsi="Calibri"/>
                <w:sz w:val="22"/>
                <w:szCs w:val="22"/>
              </w:rPr>
            </w:pPr>
          </w:p>
        </w:tc>
        <w:tc>
          <w:tcPr>
            <w:tcW w:w="1080" w:type="dxa"/>
          </w:tcPr>
          <w:p w:rsidR="001F34CA" w:rsidRPr="00B3785C" w:rsidRDefault="001F34CA" w:rsidP="00B534AA">
            <w:pPr>
              <w:pStyle w:val="BodyTextIndent"/>
              <w:tabs>
                <w:tab w:val="clear" w:pos="360"/>
                <w:tab w:val="left" w:pos="720"/>
              </w:tabs>
              <w:ind w:left="0"/>
              <w:jc w:val="right"/>
              <w:rPr>
                <w:rFonts w:ascii="Calibri" w:eastAsia="Calibri" w:hAnsi="Calibri"/>
                <w:sz w:val="22"/>
                <w:szCs w:val="22"/>
              </w:rPr>
            </w:pPr>
          </w:p>
        </w:tc>
        <w:tc>
          <w:tcPr>
            <w:tcW w:w="360" w:type="dxa"/>
          </w:tcPr>
          <w:p w:rsidR="001F34CA" w:rsidRPr="00A173D0" w:rsidRDefault="001F34CA" w:rsidP="00B534AA">
            <w:pPr>
              <w:pStyle w:val="BodyTextIndent"/>
              <w:tabs>
                <w:tab w:val="clear" w:pos="360"/>
                <w:tab w:val="left" w:pos="720"/>
              </w:tabs>
              <w:ind w:left="0"/>
              <w:jc w:val="right"/>
              <w:rPr>
                <w:rFonts w:ascii="Calibri" w:eastAsia="Calibri" w:hAnsi="Calibri"/>
                <w:sz w:val="22"/>
                <w:szCs w:val="22"/>
              </w:rPr>
            </w:pPr>
          </w:p>
        </w:tc>
        <w:tc>
          <w:tcPr>
            <w:tcW w:w="1080" w:type="dxa"/>
          </w:tcPr>
          <w:p w:rsidR="001F34CA" w:rsidRPr="00A173D0" w:rsidRDefault="001F34CA" w:rsidP="00B534AA">
            <w:pPr>
              <w:pStyle w:val="BodyTextIndent"/>
              <w:tabs>
                <w:tab w:val="clear" w:pos="360"/>
                <w:tab w:val="left" w:pos="720"/>
              </w:tabs>
              <w:ind w:left="0"/>
              <w:jc w:val="right"/>
              <w:rPr>
                <w:rFonts w:ascii="Calibri" w:eastAsia="Calibri" w:hAnsi="Calibri"/>
                <w:sz w:val="22"/>
                <w:szCs w:val="22"/>
              </w:rPr>
            </w:pPr>
          </w:p>
        </w:tc>
        <w:tc>
          <w:tcPr>
            <w:tcW w:w="1080" w:type="dxa"/>
          </w:tcPr>
          <w:p w:rsidR="001F34CA" w:rsidRPr="00317A45" w:rsidRDefault="001F34CA" w:rsidP="00B534AA">
            <w:pPr>
              <w:pStyle w:val="BodyTextIndent"/>
              <w:tabs>
                <w:tab w:val="clear" w:pos="360"/>
                <w:tab w:val="left" w:pos="720"/>
              </w:tabs>
              <w:ind w:left="0"/>
              <w:jc w:val="right"/>
              <w:rPr>
                <w:rFonts w:ascii="Calibri" w:eastAsia="Calibri" w:hAnsi="Calibri"/>
                <w:sz w:val="22"/>
                <w:szCs w:val="22"/>
              </w:rPr>
            </w:pPr>
          </w:p>
        </w:tc>
      </w:tr>
      <w:tr w:rsidR="0072232F" w:rsidRPr="00B534AA">
        <w:tc>
          <w:tcPr>
            <w:tcW w:w="400" w:type="dxa"/>
          </w:tcPr>
          <w:p w:rsidR="0072232F" w:rsidRPr="00B534AA" w:rsidRDefault="0072232F" w:rsidP="00B534AA">
            <w:pPr>
              <w:pStyle w:val="BodyTextIndent"/>
              <w:tabs>
                <w:tab w:val="clear" w:pos="360"/>
                <w:tab w:val="left" w:pos="720"/>
              </w:tabs>
              <w:ind w:left="0"/>
              <w:rPr>
                <w:rFonts w:eastAsia="Calibri"/>
                <w:sz w:val="22"/>
                <w:szCs w:val="22"/>
              </w:rPr>
            </w:pPr>
            <w:r w:rsidRPr="00B534AA">
              <w:rPr>
                <w:rFonts w:eastAsia="Calibri"/>
                <w:sz w:val="22"/>
                <w:szCs w:val="22"/>
              </w:rPr>
              <w:t>b)</w:t>
            </w:r>
          </w:p>
          <w:p w:rsidR="0072232F" w:rsidRPr="00B534AA" w:rsidRDefault="0072232F" w:rsidP="00B534AA">
            <w:pPr>
              <w:pStyle w:val="BodyTextIndent"/>
              <w:tabs>
                <w:tab w:val="clear" w:pos="360"/>
                <w:tab w:val="left" w:pos="720"/>
              </w:tabs>
              <w:ind w:left="0"/>
              <w:rPr>
                <w:rFonts w:eastAsia="Calibri"/>
                <w:sz w:val="22"/>
                <w:szCs w:val="22"/>
              </w:rPr>
            </w:pPr>
          </w:p>
        </w:tc>
        <w:tc>
          <w:tcPr>
            <w:tcW w:w="3200" w:type="dxa"/>
          </w:tcPr>
          <w:p w:rsidR="0072232F" w:rsidRPr="00B534AA" w:rsidRDefault="0072232F" w:rsidP="00B534AA">
            <w:pPr>
              <w:pStyle w:val="BodyTextIndent"/>
              <w:tabs>
                <w:tab w:val="clear" w:pos="360"/>
                <w:tab w:val="left" w:pos="720"/>
              </w:tabs>
              <w:ind w:left="0"/>
              <w:rPr>
                <w:rFonts w:eastAsia="Calibri"/>
                <w:i/>
                <w:sz w:val="16"/>
                <w:szCs w:val="16"/>
              </w:rPr>
            </w:pPr>
            <w:r w:rsidRPr="00B534AA">
              <w:rPr>
                <w:rFonts w:eastAsia="Calibri"/>
                <w:i/>
                <w:sz w:val="22"/>
                <w:szCs w:val="22"/>
              </w:rPr>
              <w:t xml:space="preserve">Diluted </w:t>
            </w:r>
            <w:r w:rsidR="008534D3" w:rsidRPr="00B534AA">
              <w:rPr>
                <w:rFonts w:eastAsia="Calibri"/>
                <w:i/>
                <w:sz w:val="22"/>
                <w:szCs w:val="22"/>
              </w:rPr>
              <w:t>Earnings</w:t>
            </w:r>
            <w:r w:rsidRPr="00B534AA">
              <w:rPr>
                <w:rFonts w:eastAsia="Calibri"/>
                <w:i/>
                <w:sz w:val="22"/>
                <w:szCs w:val="22"/>
              </w:rPr>
              <w:t xml:space="preserve"> Per Share</w:t>
            </w:r>
          </w:p>
        </w:tc>
        <w:tc>
          <w:tcPr>
            <w:tcW w:w="1350" w:type="dxa"/>
          </w:tcPr>
          <w:p w:rsidR="0072232F" w:rsidRPr="00A173D0" w:rsidRDefault="0072232F" w:rsidP="00B534AA">
            <w:pPr>
              <w:pStyle w:val="BodyTextIndent"/>
              <w:tabs>
                <w:tab w:val="clear" w:pos="360"/>
                <w:tab w:val="left" w:pos="720"/>
              </w:tabs>
              <w:ind w:left="0"/>
              <w:jc w:val="right"/>
              <w:rPr>
                <w:rFonts w:eastAsia="Calibri"/>
                <w:sz w:val="16"/>
                <w:szCs w:val="16"/>
              </w:rPr>
            </w:pPr>
          </w:p>
        </w:tc>
        <w:tc>
          <w:tcPr>
            <w:tcW w:w="1080" w:type="dxa"/>
          </w:tcPr>
          <w:p w:rsidR="0072232F" w:rsidRPr="00B3785C" w:rsidRDefault="0072232F" w:rsidP="00B534AA">
            <w:pPr>
              <w:pStyle w:val="BodyTextIndent"/>
              <w:tabs>
                <w:tab w:val="clear" w:pos="360"/>
                <w:tab w:val="left" w:pos="720"/>
              </w:tabs>
              <w:ind w:left="0"/>
              <w:jc w:val="right"/>
              <w:rPr>
                <w:rFonts w:eastAsia="Calibri"/>
                <w:sz w:val="16"/>
                <w:szCs w:val="16"/>
              </w:rPr>
            </w:pPr>
          </w:p>
        </w:tc>
        <w:tc>
          <w:tcPr>
            <w:tcW w:w="360" w:type="dxa"/>
          </w:tcPr>
          <w:p w:rsidR="0072232F" w:rsidRPr="00A173D0" w:rsidRDefault="0072232F" w:rsidP="00B534AA">
            <w:pPr>
              <w:pStyle w:val="BodyTextIndent"/>
              <w:tabs>
                <w:tab w:val="clear" w:pos="360"/>
                <w:tab w:val="left" w:pos="720"/>
              </w:tabs>
              <w:ind w:left="0"/>
              <w:jc w:val="right"/>
              <w:rPr>
                <w:rFonts w:eastAsia="Calibri"/>
                <w:sz w:val="16"/>
                <w:szCs w:val="16"/>
              </w:rPr>
            </w:pPr>
          </w:p>
        </w:tc>
        <w:tc>
          <w:tcPr>
            <w:tcW w:w="1080" w:type="dxa"/>
          </w:tcPr>
          <w:p w:rsidR="0072232F" w:rsidRPr="00A173D0" w:rsidRDefault="0072232F" w:rsidP="00B534AA">
            <w:pPr>
              <w:pStyle w:val="BodyTextIndent"/>
              <w:tabs>
                <w:tab w:val="clear" w:pos="360"/>
                <w:tab w:val="left" w:pos="720"/>
              </w:tabs>
              <w:ind w:left="0"/>
              <w:jc w:val="right"/>
              <w:rPr>
                <w:rFonts w:eastAsia="Calibri"/>
                <w:sz w:val="16"/>
                <w:szCs w:val="16"/>
              </w:rPr>
            </w:pPr>
          </w:p>
        </w:tc>
        <w:tc>
          <w:tcPr>
            <w:tcW w:w="1080" w:type="dxa"/>
          </w:tcPr>
          <w:p w:rsidR="0072232F" w:rsidRPr="00317A45" w:rsidRDefault="0072232F" w:rsidP="00B534AA">
            <w:pPr>
              <w:pStyle w:val="BodyTextIndent"/>
              <w:tabs>
                <w:tab w:val="clear" w:pos="360"/>
                <w:tab w:val="left" w:pos="720"/>
              </w:tabs>
              <w:ind w:left="0"/>
              <w:jc w:val="right"/>
              <w:rPr>
                <w:rFonts w:eastAsia="Calibri"/>
                <w:sz w:val="16"/>
                <w:szCs w:val="16"/>
              </w:rPr>
            </w:pPr>
          </w:p>
        </w:tc>
      </w:tr>
      <w:tr w:rsidR="00105F9A" w:rsidRPr="00B534AA">
        <w:tc>
          <w:tcPr>
            <w:tcW w:w="400" w:type="dxa"/>
          </w:tcPr>
          <w:p w:rsidR="00105F9A" w:rsidRPr="00B534AA" w:rsidRDefault="00105F9A" w:rsidP="00B534AA">
            <w:pPr>
              <w:pStyle w:val="BodyTextIndent"/>
              <w:tabs>
                <w:tab w:val="clear" w:pos="360"/>
                <w:tab w:val="left" w:pos="720"/>
              </w:tabs>
              <w:ind w:left="0"/>
              <w:rPr>
                <w:rFonts w:ascii="Calibri" w:eastAsia="Calibri" w:hAnsi="Calibri"/>
                <w:sz w:val="16"/>
                <w:szCs w:val="16"/>
              </w:rPr>
            </w:pPr>
          </w:p>
        </w:tc>
        <w:tc>
          <w:tcPr>
            <w:tcW w:w="3200" w:type="dxa"/>
          </w:tcPr>
          <w:p w:rsidR="00105F9A" w:rsidRPr="00B534AA" w:rsidRDefault="00105F9A" w:rsidP="00F07303">
            <w:pPr>
              <w:pStyle w:val="BodyTextIndent"/>
              <w:tabs>
                <w:tab w:val="clear" w:pos="360"/>
                <w:tab w:val="left" w:pos="720"/>
              </w:tabs>
              <w:ind w:left="0"/>
              <w:rPr>
                <w:rFonts w:eastAsia="Calibri"/>
                <w:sz w:val="22"/>
                <w:szCs w:val="22"/>
              </w:rPr>
            </w:pPr>
            <w:r w:rsidRPr="00B534AA">
              <w:rPr>
                <w:rFonts w:eastAsia="Calibri"/>
                <w:sz w:val="22"/>
                <w:szCs w:val="22"/>
              </w:rPr>
              <w:t xml:space="preserve">Net profit </w:t>
            </w:r>
            <w:r w:rsidR="008534D3" w:rsidRPr="00B534AA">
              <w:rPr>
                <w:rFonts w:eastAsia="Calibri"/>
                <w:sz w:val="22"/>
                <w:szCs w:val="22"/>
              </w:rPr>
              <w:t>for the period</w:t>
            </w:r>
          </w:p>
        </w:tc>
        <w:tc>
          <w:tcPr>
            <w:tcW w:w="1350" w:type="dxa"/>
          </w:tcPr>
          <w:p w:rsidR="00105F9A" w:rsidRPr="00A173D0" w:rsidRDefault="0091081B" w:rsidP="00B534AA">
            <w:pPr>
              <w:pStyle w:val="BodyTextIndent"/>
              <w:tabs>
                <w:tab w:val="clear" w:pos="360"/>
                <w:tab w:val="left" w:pos="720"/>
              </w:tabs>
              <w:ind w:left="0"/>
              <w:jc w:val="right"/>
              <w:rPr>
                <w:rFonts w:eastAsia="Calibri"/>
                <w:sz w:val="22"/>
                <w:szCs w:val="22"/>
              </w:rPr>
            </w:pPr>
            <w:r>
              <w:rPr>
                <w:rFonts w:eastAsia="Calibri"/>
                <w:sz w:val="22"/>
                <w:szCs w:val="22"/>
              </w:rPr>
              <w:t>1</w:t>
            </w:r>
            <w:r w:rsidR="0000006D">
              <w:rPr>
                <w:rFonts w:eastAsia="Calibri"/>
                <w:sz w:val="22"/>
                <w:szCs w:val="22"/>
              </w:rPr>
              <w:t>1</w:t>
            </w:r>
            <w:r w:rsidR="003C0562" w:rsidRPr="00A173D0">
              <w:rPr>
                <w:rFonts w:eastAsia="Calibri"/>
                <w:sz w:val="22"/>
                <w:szCs w:val="22"/>
              </w:rPr>
              <w:t>,</w:t>
            </w:r>
            <w:r w:rsidR="0000006D">
              <w:rPr>
                <w:rFonts w:eastAsia="Calibri"/>
                <w:sz w:val="22"/>
                <w:szCs w:val="22"/>
              </w:rPr>
              <w:t>222</w:t>
            </w:r>
          </w:p>
          <w:p w:rsidR="00105F9A" w:rsidRPr="00A173D0"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99752F" w:rsidRDefault="0099752F" w:rsidP="0099752F">
            <w:pPr>
              <w:pStyle w:val="BodyTextIndent"/>
              <w:tabs>
                <w:tab w:val="clear" w:pos="360"/>
                <w:tab w:val="left" w:pos="720"/>
              </w:tabs>
              <w:ind w:left="0"/>
              <w:jc w:val="right"/>
              <w:rPr>
                <w:rFonts w:eastAsia="Calibri"/>
                <w:sz w:val="22"/>
                <w:szCs w:val="22"/>
              </w:rPr>
            </w:pPr>
            <w:r w:rsidRPr="0099752F">
              <w:rPr>
                <w:rFonts w:eastAsia="Calibri"/>
                <w:sz w:val="22"/>
                <w:szCs w:val="22"/>
              </w:rPr>
              <w:t>11</w:t>
            </w:r>
            <w:r w:rsidR="00D4289E" w:rsidRPr="0099752F">
              <w:rPr>
                <w:rFonts w:eastAsia="Calibri"/>
                <w:sz w:val="22"/>
                <w:szCs w:val="22"/>
              </w:rPr>
              <w:t>,</w:t>
            </w:r>
            <w:r w:rsidRPr="0099752F">
              <w:rPr>
                <w:rFonts w:eastAsia="Calibri"/>
                <w:sz w:val="22"/>
                <w:szCs w:val="22"/>
              </w:rPr>
              <w:t>233</w:t>
            </w:r>
          </w:p>
        </w:tc>
        <w:tc>
          <w:tcPr>
            <w:tcW w:w="360" w:type="dxa"/>
          </w:tcPr>
          <w:p w:rsidR="00105F9A" w:rsidRPr="00A173D0"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A173D0" w:rsidRDefault="00E23BE2" w:rsidP="00B534AA">
            <w:pPr>
              <w:pStyle w:val="BodyTextIndent"/>
              <w:tabs>
                <w:tab w:val="clear" w:pos="360"/>
                <w:tab w:val="left" w:pos="720"/>
              </w:tabs>
              <w:ind w:left="0"/>
              <w:jc w:val="right"/>
              <w:rPr>
                <w:rFonts w:eastAsia="Calibri"/>
                <w:sz w:val="22"/>
                <w:szCs w:val="22"/>
              </w:rPr>
            </w:pPr>
            <w:r>
              <w:rPr>
                <w:rFonts w:eastAsia="Calibri"/>
                <w:sz w:val="22"/>
                <w:szCs w:val="22"/>
              </w:rPr>
              <w:t>3</w:t>
            </w:r>
            <w:r w:rsidR="0000006D">
              <w:rPr>
                <w:rFonts w:eastAsia="Calibri"/>
                <w:sz w:val="22"/>
                <w:szCs w:val="22"/>
              </w:rPr>
              <w:t>3</w:t>
            </w:r>
            <w:r w:rsidR="002E2CFA" w:rsidRPr="00A173D0">
              <w:rPr>
                <w:rFonts w:eastAsia="Calibri"/>
                <w:sz w:val="22"/>
                <w:szCs w:val="22"/>
              </w:rPr>
              <w:t>,</w:t>
            </w:r>
            <w:r w:rsidR="0000006D">
              <w:rPr>
                <w:rFonts w:eastAsia="Calibri"/>
                <w:sz w:val="22"/>
                <w:szCs w:val="22"/>
              </w:rPr>
              <w:t>451</w:t>
            </w:r>
          </w:p>
          <w:p w:rsidR="00105F9A" w:rsidRPr="00A173D0"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317A45" w:rsidRDefault="00317A45" w:rsidP="00317A45">
            <w:pPr>
              <w:pStyle w:val="BodyTextIndent"/>
              <w:tabs>
                <w:tab w:val="clear" w:pos="360"/>
                <w:tab w:val="left" w:pos="720"/>
              </w:tabs>
              <w:ind w:left="0"/>
              <w:jc w:val="right"/>
              <w:rPr>
                <w:rFonts w:eastAsia="Calibri"/>
                <w:sz w:val="22"/>
                <w:szCs w:val="22"/>
              </w:rPr>
            </w:pPr>
            <w:r w:rsidRPr="00317A45">
              <w:rPr>
                <w:rFonts w:eastAsia="Calibri"/>
                <w:sz w:val="22"/>
                <w:szCs w:val="22"/>
              </w:rPr>
              <w:t>14</w:t>
            </w:r>
            <w:r w:rsidR="00D4289E" w:rsidRPr="00317A45">
              <w:rPr>
                <w:rFonts w:eastAsia="Calibri"/>
                <w:sz w:val="22"/>
                <w:szCs w:val="22"/>
              </w:rPr>
              <w:t>,</w:t>
            </w:r>
            <w:r w:rsidRPr="00317A45">
              <w:rPr>
                <w:rFonts w:eastAsia="Calibri"/>
                <w:sz w:val="22"/>
                <w:szCs w:val="22"/>
              </w:rPr>
              <w:t>941</w:t>
            </w:r>
          </w:p>
        </w:tc>
      </w:tr>
      <w:tr w:rsidR="00105F9A" w:rsidRPr="00B534AA">
        <w:tc>
          <w:tcPr>
            <w:tcW w:w="400" w:type="dxa"/>
          </w:tcPr>
          <w:p w:rsidR="00105F9A" w:rsidRPr="00B534AA" w:rsidRDefault="00105F9A" w:rsidP="00B534AA">
            <w:pPr>
              <w:pStyle w:val="BodyTextIndent"/>
              <w:tabs>
                <w:tab w:val="clear" w:pos="360"/>
                <w:tab w:val="left" w:pos="720"/>
              </w:tabs>
              <w:ind w:left="0"/>
              <w:rPr>
                <w:rFonts w:ascii="Calibri" w:eastAsia="Calibri" w:hAnsi="Calibri"/>
                <w:sz w:val="16"/>
                <w:szCs w:val="16"/>
              </w:rPr>
            </w:pPr>
          </w:p>
        </w:tc>
        <w:tc>
          <w:tcPr>
            <w:tcW w:w="3200" w:type="dxa"/>
          </w:tcPr>
          <w:p w:rsidR="00105F9A" w:rsidRPr="00B534AA" w:rsidRDefault="00105F9A" w:rsidP="00B534AA">
            <w:pPr>
              <w:pStyle w:val="BodyTextIndent"/>
              <w:tabs>
                <w:tab w:val="clear" w:pos="360"/>
                <w:tab w:val="left" w:pos="720"/>
              </w:tabs>
              <w:ind w:left="0"/>
              <w:rPr>
                <w:rFonts w:eastAsia="Calibri"/>
                <w:sz w:val="22"/>
                <w:szCs w:val="22"/>
              </w:rPr>
            </w:pPr>
            <w:r w:rsidRPr="00B534AA">
              <w:rPr>
                <w:rFonts w:eastAsia="Calibri"/>
                <w:sz w:val="22"/>
                <w:szCs w:val="22"/>
              </w:rPr>
              <w:t>Weighted average number of ordinary shares</w:t>
            </w:r>
          </w:p>
        </w:tc>
        <w:tc>
          <w:tcPr>
            <w:tcW w:w="1350" w:type="dxa"/>
          </w:tcPr>
          <w:p w:rsidR="00105F9A" w:rsidRPr="00A173D0" w:rsidRDefault="003C0562" w:rsidP="00E23BE2">
            <w:pPr>
              <w:pStyle w:val="BodyTextIndent"/>
              <w:tabs>
                <w:tab w:val="clear" w:pos="360"/>
                <w:tab w:val="left" w:pos="720"/>
              </w:tabs>
              <w:ind w:left="0"/>
              <w:jc w:val="right"/>
              <w:rPr>
                <w:rFonts w:eastAsia="Calibri"/>
                <w:sz w:val="22"/>
                <w:szCs w:val="22"/>
              </w:rPr>
            </w:pPr>
            <w:r w:rsidRPr="00A173D0">
              <w:rPr>
                <w:rFonts w:eastAsia="Calibri"/>
                <w:sz w:val="22"/>
                <w:szCs w:val="22"/>
              </w:rPr>
              <w:t>77,</w:t>
            </w:r>
            <w:r w:rsidR="00A173D0" w:rsidRPr="00A173D0">
              <w:rPr>
                <w:rFonts w:eastAsia="Calibri"/>
                <w:sz w:val="22"/>
                <w:szCs w:val="22"/>
              </w:rPr>
              <w:t>80</w:t>
            </w:r>
            <w:r w:rsidR="00E23BE2">
              <w:rPr>
                <w:rFonts w:eastAsia="Calibri"/>
                <w:sz w:val="22"/>
                <w:szCs w:val="22"/>
              </w:rPr>
              <w:t>9</w:t>
            </w:r>
          </w:p>
        </w:tc>
        <w:tc>
          <w:tcPr>
            <w:tcW w:w="1080" w:type="dxa"/>
          </w:tcPr>
          <w:p w:rsidR="00105F9A" w:rsidRPr="0099752F" w:rsidRDefault="00D4289E" w:rsidP="00CE5667">
            <w:pPr>
              <w:pStyle w:val="BodyTextIndent"/>
              <w:tabs>
                <w:tab w:val="clear" w:pos="360"/>
                <w:tab w:val="left" w:pos="720"/>
              </w:tabs>
              <w:ind w:left="0"/>
              <w:jc w:val="right"/>
              <w:rPr>
                <w:rFonts w:eastAsia="Calibri"/>
                <w:sz w:val="22"/>
                <w:szCs w:val="22"/>
              </w:rPr>
            </w:pPr>
            <w:r w:rsidRPr="0099752F">
              <w:rPr>
                <w:rFonts w:eastAsia="Calibri"/>
                <w:sz w:val="22"/>
                <w:szCs w:val="22"/>
              </w:rPr>
              <w:t>77,78</w:t>
            </w:r>
            <w:r w:rsidR="0099752F" w:rsidRPr="0099752F">
              <w:rPr>
                <w:rFonts w:eastAsia="Calibri"/>
                <w:sz w:val="22"/>
                <w:szCs w:val="22"/>
              </w:rPr>
              <w:t>7</w:t>
            </w:r>
          </w:p>
        </w:tc>
        <w:tc>
          <w:tcPr>
            <w:tcW w:w="360" w:type="dxa"/>
          </w:tcPr>
          <w:p w:rsidR="00105F9A" w:rsidRPr="00A173D0"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A173D0" w:rsidRDefault="00ED3D6D" w:rsidP="00A173D0">
            <w:pPr>
              <w:pStyle w:val="BodyTextIndent"/>
              <w:tabs>
                <w:tab w:val="clear" w:pos="360"/>
                <w:tab w:val="left" w:pos="720"/>
              </w:tabs>
              <w:ind w:left="0"/>
              <w:jc w:val="right"/>
              <w:rPr>
                <w:rFonts w:eastAsia="Calibri"/>
                <w:sz w:val="22"/>
                <w:szCs w:val="22"/>
              </w:rPr>
            </w:pPr>
            <w:r w:rsidRPr="00A173D0">
              <w:rPr>
                <w:rFonts w:eastAsia="Calibri"/>
                <w:sz w:val="22"/>
                <w:szCs w:val="22"/>
              </w:rPr>
              <w:t>77,</w:t>
            </w:r>
            <w:r w:rsidR="00A173D0" w:rsidRPr="00A173D0">
              <w:rPr>
                <w:rFonts w:eastAsia="Calibri"/>
                <w:sz w:val="22"/>
                <w:szCs w:val="22"/>
              </w:rPr>
              <w:t>79</w:t>
            </w:r>
            <w:r w:rsidR="00E23BE2">
              <w:rPr>
                <w:rFonts w:eastAsia="Calibri"/>
                <w:sz w:val="22"/>
                <w:szCs w:val="22"/>
              </w:rPr>
              <w:t>4</w:t>
            </w:r>
          </w:p>
        </w:tc>
        <w:tc>
          <w:tcPr>
            <w:tcW w:w="1080" w:type="dxa"/>
          </w:tcPr>
          <w:p w:rsidR="00105F9A" w:rsidRPr="00317A45" w:rsidRDefault="00D4289E" w:rsidP="00317A45">
            <w:pPr>
              <w:pStyle w:val="BodyTextIndent"/>
              <w:tabs>
                <w:tab w:val="clear" w:pos="360"/>
                <w:tab w:val="left" w:pos="720"/>
              </w:tabs>
              <w:ind w:left="0"/>
              <w:jc w:val="right"/>
              <w:rPr>
                <w:rFonts w:eastAsia="Calibri"/>
                <w:sz w:val="22"/>
                <w:szCs w:val="22"/>
              </w:rPr>
            </w:pPr>
            <w:r w:rsidRPr="00317A45">
              <w:rPr>
                <w:rFonts w:eastAsia="Calibri"/>
                <w:sz w:val="22"/>
                <w:szCs w:val="22"/>
              </w:rPr>
              <w:t>77,78</w:t>
            </w:r>
            <w:r w:rsidR="00317A45" w:rsidRPr="00317A45">
              <w:rPr>
                <w:rFonts w:eastAsia="Calibri"/>
                <w:sz w:val="22"/>
                <w:szCs w:val="22"/>
              </w:rPr>
              <w:t>5</w:t>
            </w:r>
          </w:p>
        </w:tc>
      </w:tr>
      <w:tr w:rsidR="00105F9A" w:rsidRPr="00B534AA">
        <w:tc>
          <w:tcPr>
            <w:tcW w:w="400" w:type="dxa"/>
          </w:tcPr>
          <w:p w:rsidR="00105F9A" w:rsidRPr="00B534AA" w:rsidRDefault="00105F9A" w:rsidP="00B534AA">
            <w:pPr>
              <w:pStyle w:val="BodyTextIndent"/>
              <w:tabs>
                <w:tab w:val="clear" w:pos="360"/>
                <w:tab w:val="left" w:pos="720"/>
              </w:tabs>
              <w:ind w:left="0"/>
              <w:rPr>
                <w:rFonts w:ascii="Calibri" w:eastAsia="Calibri" w:hAnsi="Calibri"/>
                <w:sz w:val="16"/>
                <w:szCs w:val="16"/>
              </w:rPr>
            </w:pPr>
          </w:p>
        </w:tc>
        <w:tc>
          <w:tcPr>
            <w:tcW w:w="3200" w:type="dxa"/>
          </w:tcPr>
          <w:p w:rsidR="00105F9A" w:rsidRPr="00B534AA" w:rsidRDefault="00105F9A" w:rsidP="00B534AA">
            <w:pPr>
              <w:pStyle w:val="BodyTextIndent"/>
              <w:tabs>
                <w:tab w:val="clear" w:pos="360"/>
                <w:tab w:val="left" w:pos="720"/>
              </w:tabs>
              <w:ind w:left="0"/>
              <w:rPr>
                <w:rFonts w:eastAsia="Calibri"/>
                <w:sz w:val="22"/>
                <w:szCs w:val="22"/>
              </w:rPr>
            </w:pPr>
          </w:p>
          <w:p w:rsidR="00105F9A" w:rsidRPr="00B534AA" w:rsidRDefault="00105F9A" w:rsidP="00B534AA">
            <w:pPr>
              <w:pStyle w:val="BodyTextIndent"/>
              <w:tabs>
                <w:tab w:val="clear" w:pos="360"/>
                <w:tab w:val="left" w:pos="720"/>
              </w:tabs>
              <w:ind w:left="0"/>
              <w:rPr>
                <w:rFonts w:eastAsia="Calibri"/>
                <w:sz w:val="22"/>
                <w:szCs w:val="22"/>
              </w:rPr>
            </w:pPr>
            <w:r w:rsidRPr="00B534AA">
              <w:rPr>
                <w:rFonts w:eastAsia="Calibri"/>
                <w:sz w:val="22"/>
                <w:szCs w:val="22"/>
              </w:rPr>
              <w:t>Number of shares deemed to have been issued for no</w:t>
            </w:r>
          </w:p>
          <w:p w:rsidR="00105F9A" w:rsidRPr="00B534AA" w:rsidRDefault="00105F9A" w:rsidP="00B534AA">
            <w:pPr>
              <w:pStyle w:val="BodyTextIndent"/>
              <w:tabs>
                <w:tab w:val="clear" w:pos="360"/>
                <w:tab w:val="left" w:pos="720"/>
              </w:tabs>
              <w:ind w:left="0"/>
              <w:rPr>
                <w:rFonts w:eastAsia="Calibri"/>
                <w:sz w:val="22"/>
                <w:szCs w:val="22"/>
              </w:rPr>
            </w:pPr>
            <w:r w:rsidRPr="00B534AA">
              <w:rPr>
                <w:rFonts w:eastAsia="Calibri"/>
                <w:sz w:val="22"/>
                <w:szCs w:val="22"/>
              </w:rPr>
              <w:t>consideration – ESOS</w:t>
            </w:r>
          </w:p>
          <w:p w:rsidR="00105F9A" w:rsidRPr="00B534AA" w:rsidRDefault="00105F9A" w:rsidP="00B534AA">
            <w:pPr>
              <w:pStyle w:val="BodyTextIndent"/>
              <w:tabs>
                <w:tab w:val="clear" w:pos="360"/>
                <w:tab w:val="left" w:pos="720"/>
              </w:tabs>
              <w:ind w:left="0"/>
              <w:rPr>
                <w:rFonts w:eastAsia="Calibri"/>
                <w:sz w:val="16"/>
                <w:szCs w:val="16"/>
              </w:rPr>
            </w:pPr>
          </w:p>
        </w:tc>
        <w:tc>
          <w:tcPr>
            <w:tcW w:w="1350" w:type="dxa"/>
          </w:tcPr>
          <w:p w:rsidR="00105F9A" w:rsidRPr="00A173D0" w:rsidRDefault="00105F9A" w:rsidP="00B534AA">
            <w:pPr>
              <w:pStyle w:val="BodyTextIndent"/>
              <w:tabs>
                <w:tab w:val="clear" w:pos="360"/>
                <w:tab w:val="left" w:pos="720"/>
              </w:tabs>
              <w:ind w:left="0"/>
              <w:jc w:val="right"/>
              <w:rPr>
                <w:rFonts w:eastAsia="Calibri"/>
                <w:sz w:val="22"/>
                <w:szCs w:val="22"/>
              </w:rPr>
            </w:pPr>
          </w:p>
          <w:p w:rsidR="00105F9A" w:rsidRPr="00A173D0" w:rsidRDefault="00105F9A" w:rsidP="00B534AA">
            <w:pPr>
              <w:pStyle w:val="BodyTextIndent"/>
              <w:tabs>
                <w:tab w:val="clear" w:pos="360"/>
                <w:tab w:val="left" w:pos="720"/>
              </w:tabs>
              <w:ind w:left="0"/>
              <w:jc w:val="right"/>
              <w:rPr>
                <w:rFonts w:eastAsia="Calibri"/>
                <w:sz w:val="22"/>
                <w:szCs w:val="22"/>
              </w:rPr>
            </w:pPr>
          </w:p>
          <w:p w:rsidR="00105F9A" w:rsidRPr="00A173D0" w:rsidRDefault="008B61EE" w:rsidP="00B534AA">
            <w:pPr>
              <w:pStyle w:val="BodyTextIndent"/>
              <w:tabs>
                <w:tab w:val="clear" w:pos="360"/>
                <w:tab w:val="left" w:pos="720"/>
              </w:tabs>
              <w:ind w:left="0"/>
              <w:jc w:val="right"/>
              <w:rPr>
                <w:rFonts w:eastAsia="Calibri"/>
                <w:sz w:val="22"/>
                <w:szCs w:val="22"/>
              </w:rPr>
            </w:pPr>
            <w:r w:rsidRPr="00A173D0">
              <w:rPr>
                <w:rFonts w:eastAsia="Calibri"/>
                <w:sz w:val="22"/>
                <w:szCs w:val="22"/>
              </w:rPr>
              <w:t>-</w:t>
            </w:r>
          </w:p>
          <w:p w:rsidR="00105F9A" w:rsidRPr="00A173D0"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99752F" w:rsidRDefault="00105F9A" w:rsidP="00B534AA">
            <w:pPr>
              <w:pStyle w:val="BodyTextIndent"/>
              <w:tabs>
                <w:tab w:val="clear" w:pos="360"/>
                <w:tab w:val="left" w:pos="720"/>
              </w:tabs>
              <w:ind w:left="0"/>
              <w:jc w:val="right"/>
              <w:rPr>
                <w:rFonts w:eastAsia="Calibri"/>
                <w:sz w:val="16"/>
                <w:szCs w:val="16"/>
              </w:rPr>
            </w:pPr>
          </w:p>
          <w:p w:rsidR="00105F9A" w:rsidRPr="0099752F" w:rsidRDefault="00105F9A" w:rsidP="00B534AA">
            <w:pPr>
              <w:pStyle w:val="BodyTextIndent"/>
              <w:tabs>
                <w:tab w:val="clear" w:pos="360"/>
                <w:tab w:val="left" w:pos="720"/>
              </w:tabs>
              <w:ind w:left="0"/>
              <w:jc w:val="right"/>
              <w:rPr>
                <w:rFonts w:eastAsia="Calibri"/>
                <w:sz w:val="16"/>
                <w:szCs w:val="16"/>
              </w:rPr>
            </w:pPr>
          </w:p>
          <w:p w:rsidR="00105F9A" w:rsidRPr="0099752F" w:rsidRDefault="00105F9A" w:rsidP="00B534AA">
            <w:pPr>
              <w:pStyle w:val="BodyTextIndent"/>
              <w:tabs>
                <w:tab w:val="clear" w:pos="360"/>
                <w:tab w:val="left" w:pos="720"/>
              </w:tabs>
              <w:ind w:left="0"/>
              <w:jc w:val="right"/>
              <w:rPr>
                <w:rFonts w:eastAsia="Calibri"/>
                <w:sz w:val="16"/>
                <w:szCs w:val="16"/>
              </w:rPr>
            </w:pPr>
          </w:p>
          <w:p w:rsidR="00105F9A" w:rsidRPr="0099752F" w:rsidRDefault="00FA64A2" w:rsidP="00FA64A2">
            <w:pPr>
              <w:pStyle w:val="BodyTextIndent"/>
              <w:tabs>
                <w:tab w:val="clear" w:pos="360"/>
                <w:tab w:val="left" w:pos="720"/>
              </w:tabs>
              <w:ind w:left="0"/>
              <w:jc w:val="right"/>
              <w:rPr>
                <w:rFonts w:eastAsia="Calibri"/>
                <w:sz w:val="22"/>
                <w:szCs w:val="22"/>
              </w:rPr>
            </w:pPr>
            <w:r w:rsidRPr="0099752F">
              <w:rPr>
                <w:rFonts w:eastAsia="Calibri"/>
                <w:sz w:val="22"/>
                <w:szCs w:val="22"/>
              </w:rPr>
              <w:t>-</w:t>
            </w:r>
          </w:p>
        </w:tc>
        <w:tc>
          <w:tcPr>
            <w:tcW w:w="360" w:type="dxa"/>
          </w:tcPr>
          <w:p w:rsidR="00105F9A" w:rsidRPr="00A173D0" w:rsidRDefault="00105F9A" w:rsidP="00B534AA">
            <w:pPr>
              <w:pStyle w:val="BodyTextIndent"/>
              <w:tabs>
                <w:tab w:val="clear" w:pos="360"/>
                <w:tab w:val="left" w:pos="720"/>
              </w:tabs>
              <w:ind w:left="0"/>
              <w:jc w:val="right"/>
              <w:rPr>
                <w:rFonts w:eastAsia="Calibri"/>
                <w:sz w:val="16"/>
                <w:szCs w:val="16"/>
              </w:rPr>
            </w:pPr>
          </w:p>
        </w:tc>
        <w:tc>
          <w:tcPr>
            <w:tcW w:w="1080" w:type="dxa"/>
          </w:tcPr>
          <w:p w:rsidR="00105F9A" w:rsidRPr="00A173D0" w:rsidRDefault="00105F9A" w:rsidP="00B534AA">
            <w:pPr>
              <w:pStyle w:val="BodyTextIndent"/>
              <w:tabs>
                <w:tab w:val="clear" w:pos="360"/>
                <w:tab w:val="left" w:pos="720"/>
              </w:tabs>
              <w:ind w:left="0"/>
              <w:jc w:val="right"/>
              <w:rPr>
                <w:rFonts w:eastAsia="Calibri"/>
                <w:sz w:val="16"/>
                <w:szCs w:val="16"/>
              </w:rPr>
            </w:pPr>
          </w:p>
          <w:p w:rsidR="00105F9A" w:rsidRPr="00A173D0" w:rsidRDefault="00105F9A" w:rsidP="00B534AA">
            <w:pPr>
              <w:pStyle w:val="BodyTextIndent"/>
              <w:tabs>
                <w:tab w:val="clear" w:pos="360"/>
                <w:tab w:val="left" w:pos="720"/>
              </w:tabs>
              <w:ind w:left="0"/>
              <w:jc w:val="right"/>
              <w:rPr>
                <w:rFonts w:eastAsia="Calibri"/>
                <w:sz w:val="16"/>
                <w:szCs w:val="16"/>
              </w:rPr>
            </w:pPr>
          </w:p>
          <w:p w:rsidR="00105F9A" w:rsidRPr="00A173D0" w:rsidRDefault="00105F9A" w:rsidP="00B534AA">
            <w:pPr>
              <w:pStyle w:val="BodyTextIndent"/>
              <w:tabs>
                <w:tab w:val="clear" w:pos="360"/>
                <w:tab w:val="left" w:pos="720"/>
              </w:tabs>
              <w:ind w:left="0"/>
              <w:jc w:val="right"/>
              <w:rPr>
                <w:rFonts w:eastAsia="Calibri"/>
                <w:sz w:val="16"/>
                <w:szCs w:val="16"/>
              </w:rPr>
            </w:pPr>
          </w:p>
          <w:p w:rsidR="00105F9A" w:rsidRPr="00A173D0" w:rsidRDefault="003C0562" w:rsidP="003C0562">
            <w:pPr>
              <w:pStyle w:val="BodyTextIndent"/>
              <w:tabs>
                <w:tab w:val="clear" w:pos="360"/>
                <w:tab w:val="left" w:pos="720"/>
              </w:tabs>
              <w:ind w:left="0"/>
              <w:jc w:val="right"/>
              <w:rPr>
                <w:rFonts w:eastAsia="Calibri"/>
                <w:sz w:val="22"/>
                <w:szCs w:val="22"/>
              </w:rPr>
            </w:pPr>
            <w:r w:rsidRPr="00A173D0">
              <w:rPr>
                <w:rFonts w:eastAsia="Calibri"/>
                <w:sz w:val="22"/>
                <w:szCs w:val="22"/>
              </w:rPr>
              <w:t>-</w:t>
            </w:r>
          </w:p>
        </w:tc>
        <w:tc>
          <w:tcPr>
            <w:tcW w:w="1080" w:type="dxa"/>
          </w:tcPr>
          <w:p w:rsidR="00105F9A" w:rsidRPr="00317A45" w:rsidRDefault="00105F9A" w:rsidP="00B534AA">
            <w:pPr>
              <w:pStyle w:val="BodyTextIndent"/>
              <w:tabs>
                <w:tab w:val="clear" w:pos="360"/>
                <w:tab w:val="left" w:pos="720"/>
              </w:tabs>
              <w:ind w:left="0"/>
              <w:jc w:val="right"/>
              <w:rPr>
                <w:rFonts w:eastAsia="Calibri"/>
                <w:sz w:val="16"/>
                <w:szCs w:val="16"/>
              </w:rPr>
            </w:pPr>
          </w:p>
          <w:p w:rsidR="00105F9A" w:rsidRPr="00317A45" w:rsidRDefault="00105F9A" w:rsidP="00B534AA">
            <w:pPr>
              <w:pStyle w:val="BodyTextIndent"/>
              <w:tabs>
                <w:tab w:val="clear" w:pos="360"/>
                <w:tab w:val="left" w:pos="720"/>
              </w:tabs>
              <w:ind w:left="0"/>
              <w:jc w:val="right"/>
              <w:rPr>
                <w:rFonts w:eastAsia="Calibri"/>
                <w:sz w:val="16"/>
                <w:szCs w:val="16"/>
              </w:rPr>
            </w:pPr>
          </w:p>
          <w:p w:rsidR="00105F9A" w:rsidRPr="00317A45" w:rsidRDefault="00105F9A" w:rsidP="00B534AA">
            <w:pPr>
              <w:pStyle w:val="BodyTextIndent"/>
              <w:tabs>
                <w:tab w:val="clear" w:pos="360"/>
                <w:tab w:val="left" w:pos="720"/>
              </w:tabs>
              <w:ind w:left="0"/>
              <w:jc w:val="right"/>
              <w:rPr>
                <w:rFonts w:eastAsia="Calibri"/>
                <w:sz w:val="16"/>
                <w:szCs w:val="16"/>
              </w:rPr>
            </w:pPr>
          </w:p>
          <w:p w:rsidR="00105F9A" w:rsidRPr="00317A45" w:rsidRDefault="00317A45" w:rsidP="00B534AA">
            <w:pPr>
              <w:pStyle w:val="BodyTextIndent"/>
              <w:tabs>
                <w:tab w:val="clear" w:pos="360"/>
                <w:tab w:val="left" w:pos="720"/>
              </w:tabs>
              <w:ind w:left="0"/>
              <w:jc w:val="right"/>
              <w:rPr>
                <w:rFonts w:eastAsia="Calibri"/>
                <w:sz w:val="16"/>
                <w:szCs w:val="16"/>
              </w:rPr>
            </w:pPr>
            <w:r w:rsidRPr="00317A45">
              <w:rPr>
                <w:rFonts w:eastAsia="Calibri"/>
                <w:sz w:val="22"/>
                <w:szCs w:val="22"/>
              </w:rPr>
              <w:t>994</w:t>
            </w:r>
          </w:p>
          <w:p w:rsidR="00105F9A" w:rsidRPr="00317A45" w:rsidRDefault="00105F9A" w:rsidP="00B534AA">
            <w:pPr>
              <w:pStyle w:val="BodyTextIndent"/>
              <w:tabs>
                <w:tab w:val="clear" w:pos="360"/>
                <w:tab w:val="left" w:pos="720"/>
              </w:tabs>
              <w:ind w:left="0"/>
              <w:jc w:val="right"/>
              <w:rPr>
                <w:rFonts w:eastAsia="Calibri"/>
                <w:sz w:val="16"/>
                <w:szCs w:val="16"/>
              </w:rPr>
            </w:pPr>
          </w:p>
        </w:tc>
      </w:tr>
      <w:tr w:rsidR="00105F9A" w:rsidRPr="00B534AA">
        <w:tc>
          <w:tcPr>
            <w:tcW w:w="400" w:type="dxa"/>
          </w:tcPr>
          <w:p w:rsidR="00105F9A" w:rsidRPr="00B534AA" w:rsidRDefault="00105F9A" w:rsidP="00B534AA">
            <w:pPr>
              <w:pStyle w:val="BodyTextIndent"/>
              <w:tabs>
                <w:tab w:val="clear" w:pos="360"/>
                <w:tab w:val="left" w:pos="720"/>
              </w:tabs>
              <w:ind w:left="0"/>
              <w:rPr>
                <w:rFonts w:ascii="Calibri" w:eastAsia="Calibri" w:hAnsi="Calibri"/>
                <w:sz w:val="16"/>
                <w:szCs w:val="16"/>
              </w:rPr>
            </w:pPr>
          </w:p>
        </w:tc>
        <w:tc>
          <w:tcPr>
            <w:tcW w:w="3200" w:type="dxa"/>
          </w:tcPr>
          <w:p w:rsidR="00105F9A" w:rsidRPr="00B534AA" w:rsidRDefault="00105F9A" w:rsidP="00B534AA">
            <w:pPr>
              <w:pStyle w:val="BodyTextIndent"/>
              <w:tabs>
                <w:tab w:val="clear" w:pos="360"/>
                <w:tab w:val="left" w:pos="720"/>
              </w:tabs>
              <w:ind w:left="0"/>
              <w:rPr>
                <w:rFonts w:eastAsia="Calibri"/>
                <w:sz w:val="22"/>
                <w:szCs w:val="22"/>
              </w:rPr>
            </w:pPr>
            <w:r w:rsidRPr="00B534AA">
              <w:rPr>
                <w:rFonts w:eastAsia="Calibri"/>
                <w:sz w:val="22"/>
                <w:szCs w:val="22"/>
              </w:rPr>
              <w:t>Weighted average number of ordinary shares</w:t>
            </w:r>
          </w:p>
        </w:tc>
        <w:tc>
          <w:tcPr>
            <w:tcW w:w="1350" w:type="dxa"/>
          </w:tcPr>
          <w:p w:rsidR="00105F9A" w:rsidRPr="00A173D0" w:rsidRDefault="003C0562" w:rsidP="00B534AA">
            <w:pPr>
              <w:pStyle w:val="BodyTextIndent"/>
              <w:tabs>
                <w:tab w:val="clear" w:pos="360"/>
                <w:tab w:val="left" w:pos="720"/>
              </w:tabs>
              <w:ind w:left="0"/>
              <w:jc w:val="right"/>
              <w:rPr>
                <w:rFonts w:eastAsia="Calibri"/>
                <w:sz w:val="22"/>
                <w:szCs w:val="22"/>
              </w:rPr>
            </w:pPr>
            <w:r w:rsidRPr="00A173D0">
              <w:rPr>
                <w:rFonts w:eastAsia="Calibri"/>
                <w:sz w:val="22"/>
                <w:szCs w:val="22"/>
              </w:rPr>
              <w:t>77,</w:t>
            </w:r>
            <w:r w:rsidR="00A173D0" w:rsidRPr="00A173D0">
              <w:rPr>
                <w:rFonts w:eastAsia="Calibri"/>
                <w:sz w:val="22"/>
                <w:szCs w:val="22"/>
              </w:rPr>
              <w:t>80</w:t>
            </w:r>
            <w:r w:rsidR="00E23BE2">
              <w:rPr>
                <w:rFonts w:eastAsia="Calibri"/>
                <w:sz w:val="22"/>
                <w:szCs w:val="22"/>
              </w:rPr>
              <w:t>9</w:t>
            </w:r>
          </w:p>
          <w:p w:rsidR="00C01672" w:rsidRPr="00A173D0" w:rsidRDefault="00C01672" w:rsidP="00B534AA">
            <w:pPr>
              <w:pStyle w:val="BodyTextIndent"/>
              <w:tabs>
                <w:tab w:val="clear" w:pos="360"/>
                <w:tab w:val="left" w:pos="720"/>
              </w:tabs>
              <w:ind w:left="0"/>
              <w:jc w:val="right"/>
              <w:rPr>
                <w:rFonts w:eastAsia="Calibri"/>
                <w:sz w:val="22"/>
                <w:szCs w:val="22"/>
              </w:rPr>
            </w:pPr>
          </w:p>
        </w:tc>
        <w:tc>
          <w:tcPr>
            <w:tcW w:w="1080" w:type="dxa"/>
          </w:tcPr>
          <w:p w:rsidR="00105F9A" w:rsidRPr="0099752F" w:rsidRDefault="00D4289E" w:rsidP="00D4289E">
            <w:pPr>
              <w:pStyle w:val="BodyTextIndent"/>
              <w:tabs>
                <w:tab w:val="clear" w:pos="360"/>
                <w:tab w:val="left" w:pos="720"/>
              </w:tabs>
              <w:ind w:left="0"/>
              <w:jc w:val="right"/>
              <w:rPr>
                <w:rFonts w:eastAsia="Calibri"/>
                <w:sz w:val="22"/>
                <w:szCs w:val="22"/>
              </w:rPr>
            </w:pPr>
            <w:r w:rsidRPr="0099752F">
              <w:rPr>
                <w:rFonts w:eastAsia="Calibri"/>
                <w:sz w:val="22"/>
                <w:szCs w:val="22"/>
              </w:rPr>
              <w:t>77,78</w:t>
            </w:r>
            <w:r w:rsidR="0099752F" w:rsidRPr="0099752F">
              <w:rPr>
                <w:rFonts w:eastAsia="Calibri"/>
                <w:sz w:val="22"/>
                <w:szCs w:val="22"/>
              </w:rPr>
              <w:t>7</w:t>
            </w:r>
          </w:p>
        </w:tc>
        <w:tc>
          <w:tcPr>
            <w:tcW w:w="360" w:type="dxa"/>
          </w:tcPr>
          <w:p w:rsidR="00105F9A" w:rsidRPr="00A173D0"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A173D0" w:rsidRDefault="003C0562" w:rsidP="00E23BE2">
            <w:pPr>
              <w:pStyle w:val="BodyTextIndent"/>
              <w:tabs>
                <w:tab w:val="clear" w:pos="360"/>
                <w:tab w:val="left" w:pos="720"/>
              </w:tabs>
              <w:ind w:left="0"/>
              <w:jc w:val="right"/>
              <w:rPr>
                <w:rFonts w:eastAsia="Calibri"/>
                <w:sz w:val="22"/>
                <w:szCs w:val="22"/>
              </w:rPr>
            </w:pPr>
            <w:r w:rsidRPr="00A173D0">
              <w:rPr>
                <w:rFonts w:eastAsia="Calibri"/>
                <w:sz w:val="22"/>
                <w:szCs w:val="22"/>
              </w:rPr>
              <w:t>77,79</w:t>
            </w:r>
            <w:r w:rsidR="00E23BE2">
              <w:rPr>
                <w:rFonts w:eastAsia="Calibri"/>
                <w:sz w:val="22"/>
                <w:szCs w:val="22"/>
              </w:rPr>
              <w:t>4</w:t>
            </w:r>
          </w:p>
        </w:tc>
        <w:tc>
          <w:tcPr>
            <w:tcW w:w="1080" w:type="dxa"/>
          </w:tcPr>
          <w:p w:rsidR="00105F9A" w:rsidRPr="00317A45" w:rsidRDefault="00D4289E" w:rsidP="00B534AA">
            <w:pPr>
              <w:pStyle w:val="BodyTextIndent"/>
              <w:tabs>
                <w:tab w:val="clear" w:pos="360"/>
                <w:tab w:val="left" w:pos="720"/>
              </w:tabs>
              <w:ind w:left="0"/>
              <w:jc w:val="right"/>
              <w:rPr>
                <w:rFonts w:eastAsia="Calibri"/>
                <w:sz w:val="22"/>
                <w:szCs w:val="22"/>
              </w:rPr>
            </w:pPr>
            <w:r w:rsidRPr="00317A45">
              <w:rPr>
                <w:rFonts w:eastAsia="Calibri"/>
                <w:sz w:val="22"/>
                <w:szCs w:val="22"/>
              </w:rPr>
              <w:t>7</w:t>
            </w:r>
            <w:r w:rsidR="00317A45" w:rsidRPr="00317A45">
              <w:rPr>
                <w:rFonts w:eastAsia="Calibri"/>
                <w:sz w:val="22"/>
                <w:szCs w:val="22"/>
              </w:rPr>
              <w:t>8,779</w:t>
            </w:r>
          </w:p>
        </w:tc>
      </w:tr>
      <w:tr w:rsidR="00105F9A" w:rsidRPr="00B534AA">
        <w:tc>
          <w:tcPr>
            <w:tcW w:w="400" w:type="dxa"/>
          </w:tcPr>
          <w:p w:rsidR="00105F9A" w:rsidRPr="00B534AA" w:rsidRDefault="00105F9A" w:rsidP="00B534AA">
            <w:pPr>
              <w:pStyle w:val="BodyTextIndent"/>
              <w:tabs>
                <w:tab w:val="clear" w:pos="360"/>
                <w:tab w:val="left" w:pos="720"/>
              </w:tabs>
              <w:ind w:left="0"/>
              <w:rPr>
                <w:rFonts w:ascii="Calibri" w:eastAsia="Calibri" w:hAnsi="Calibri"/>
                <w:sz w:val="16"/>
                <w:szCs w:val="16"/>
              </w:rPr>
            </w:pPr>
          </w:p>
        </w:tc>
        <w:tc>
          <w:tcPr>
            <w:tcW w:w="3200" w:type="dxa"/>
          </w:tcPr>
          <w:p w:rsidR="00105F9A" w:rsidRPr="00B534AA" w:rsidRDefault="00105F9A" w:rsidP="00B534AA">
            <w:pPr>
              <w:pStyle w:val="BodyTextIndent"/>
              <w:tabs>
                <w:tab w:val="clear" w:pos="360"/>
                <w:tab w:val="left" w:pos="720"/>
              </w:tabs>
              <w:ind w:left="0"/>
              <w:rPr>
                <w:rFonts w:eastAsia="Calibri"/>
                <w:sz w:val="16"/>
                <w:szCs w:val="16"/>
              </w:rPr>
            </w:pPr>
          </w:p>
        </w:tc>
        <w:tc>
          <w:tcPr>
            <w:tcW w:w="1350" w:type="dxa"/>
          </w:tcPr>
          <w:p w:rsidR="00105F9A" w:rsidRPr="00A173D0" w:rsidRDefault="00105F9A" w:rsidP="00B534AA">
            <w:pPr>
              <w:pStyle w:val="BodyTextIndent"/>
              <w:tabs>
                <w:tab w:val="clear" w:pos="360"/>
                <w:tab w:val="left" w:pos="720"/>
              </w:tabs>
              <w:ind w:left="0"/>
              <w:jc w:val="right"/>
              <w:rPr>
                <w:rFonts w:eastAsia="Calibri"/>
                <w:sz w:val="16"/>
                <w:szCs w:val="16"/>
              </w:rPr>
            </w:pPr>
          </w:p>
        </w:tc>
        <w:tc>
          <w:tcPr>
            <w:tcW w:w="1080" w:type="dxa"/>
          </w:tcPr>
          <w:p w:rsidR="00105F9A" w:rsidRPr="0099752F" w:rsidRDefault="00105F9A" w:rsidP="00B534AA">
            <w:pPr>
              <w:pStyle w:val="BodyTextIndent"/>
              <w:tabs>
                <w:tab w:val="clear" w:pos="360"/>
                <w:tab w:val="left" w:pos="720"/>
              </w:tabs>
              <w:ind w:left="0"/>
              <w:jc w:val="right"/>
              <w:rPr>
                <w:rFonts w:eastAsia="Calibri"/>
                <w:sz w:val="16"/>
                <w:szCs w:val="16"/>
              </w:rPr>
            </w:pPr>
          </w:p>
        </w:tc>
        <w:tc>
          <w:tcPr>
            <w:tcW w:w="360" w:type="dxa"/>
          </w:tcPr>
          <w:p w:rsidR="00105F9A" w:rsidRPr="00A173D0" w:rsidRDefault="00105F9A" w:rsidP="00B534AA">
            <w:pPr>
              <w:pStyle w:val="BodyTextIndent"/>
              <w:tabs>
                <w:tab w:val="clear" w:pos="360"/>
                <w:tab w:val="left" w:pos="720"/>
              </w:tabs>
              <w:ind w:left="0"/>
              <w:jc w:val="right"/>
              <w:rPr>
                <w:rFonts w:eastAsia="Calibri"/>
                <w:sz w:val="16"/>
                <w:szCs w:val="16"/>
              </w:rPr>
            </w:pPr>
          </w:p>
        </w:tc>
        <w:tc>
          <w:tcPr>
            <w:tcW w:w="1080" w:type="dxa"/>
          </w:tcPr>
          <w:p w:rsidR="00105F9A" w:rsidRPr="00A173D0" w:rsidRDefault="00105F9A" w:rsidP="00A173D0">
            <w:pPr>
              <w:pStyle w:val="BodyTextIndent"/>
              <w:tabs>
                <w:tab w:val="clear" w:pos="360"/>
                <w:tab w:val="left" w:pos="720"/>
              </w:tabs>
              <w:ind w:left="0" w:right="80"/>
              <w:jc w:val="right"/>
              <w:rPr>
                <w:rFonts w:eastAsia="Calibri"/>
                <w:sz w:val="16"/>
                <w:szCs w:val="16"/>
              </w:rPr>
            </w:pPr>
          </w:p>
        </w:tc>
        <w:tc>
          <w:tcPr>
            <w:tcW w:w="1080" w:type="dxa"/>
          </w:tcPr>
          <w:p w:rsidR="00105F9A" w:rsidRPr="00317A45" w:rsidRDefault="00105F9A" w:rsidP="00B534AA">
            <w:pPr>
              <w:pStyle w:val="BodyTextIndent"/>
              <w:tabs>
                <w:tab w:val="clear" w:pos="360"/>
                <w:tab w:val="left" w:pos="720"/>
              </w:tabs>
              <w:ind w:left="0"/>
              <w:jc w:val="right"/>
              <w:rPr>
                <w:rFonts w:eastAsia="Calibri"/>
                <w:sz w:val="16"/>
                <w:szCs w:val="16"/>
              </w:rPr>
            </w:pPr>
          </w:p>
        </w:tc>
      </w:tr>
      <w:tr w:rsidR="00105F9A" w:rsidRPr="00B534AA">
        <w:tc>
          <w:tcPr>
            <w:tcW w:w="400" w:type="dxa"/>
          </w:tcPr>
          <w:p w:rsidR="00105F9A" w:rsidRPr="00B534AA" w:rsidRDefault="00105F9A" w:rsidP="00B534AA">
            <w:pPr>
              <w:pStyle w:val="BodyTextIndent"/>
              <w:tabs>
                <w:tab w:val="clear" w:pos="360"/>
                <w:tab w:val="left" w:pos="720"/>
              </w:tabs>
              <w:ind w:left="0"/>
              <w:rPr>
                <w:rFonts w:ascii="Calibri" w:eastAsia="Calibri" w:hAnsi="Calibri"/>
                <w:sz w:val="16"/>
                <w:szCs w:val="16"/>
              </w:rPr>
            </w:pPr>
          </w:p>
        </w:tc>
        <w:tc>
          <w:tcPr>
            <w:tcW w:w="3200" w:type="dxa"/>
          </w:tcPr>
          <w:p w:rsidR="00105F9A" w:rsidRPr="00B534AA" w:rsidRDefault="00105F9A" w:rsidP="00B534AA">
            <w:pPr>
              <w:pStyle w:val="BodyTextIndent"/>
              <w:tabs>
                <w:tab w:val="clear" w:pos="360"/>
                <w:tab w:val="left" w:pos="720"/>
              </w:tabs>
              <w:ind w:left="0"/>
              <w:rPr>
                <w:rFonts w:eastAsia="Calibri"/>
                <w:sz w:val="22"/>
                <w:szCs w:val="22"/>
              </w:rPr>
            </w:pPr>
            <w:r w:rsidRPr="00B534AA">
              <w:rPr>
                <w:rFonts w:eastAsia="Calibri"/>
                <w:sz w:val="22"/>
                <w:szCs w:val="22"/>
              </w:rPr>
              <w:t xml:space="preserve">Diluted earnings per share (sen)  </w:t>
            </w:r>
          </w:p>
        </w:tc>
        <w:tc>
          <w:tcPr>
            <w:tcW w:w="1350" w:type="dxa"/>
          </w:tcPr>
          <w:p w:rsidR="00105F9A" w:rsidRPr="00A173D0" w:rsidRDefault="003C0562" w:rsidP="0000006D">
            <w:pPr>
              <w:pStyle w:val="BodyTextIndent"/>
              <w:tabs>
                <w:tab w:val="clear" w:pos="360"/>
                <w:tab w:val="left" w:pos="720"/>
              </w:tabs>
              <w:ind w:left="0"/>
              <w:jc w:val="right"/>
              <w:rPr>
                <w:rFonts w:eastAsia="Calibri"/>
                <w:sz w:val="22"/>
                <w:szCs w:val="22"/>
              </w:rPr>
            </w:pPr>
            <w:r w:rsidRPr="00A173D0">
              <w:rPr>
                <w:rFonts w:eastAsia="Calibri"/>
                <w:sz w:val="22"/>
                <w:szCs w:val="22"/>
              </w:rPr>
              <w:t>1</w:t>
            </w:r>
            <w:r w:rsidR="0000006D">
              <w:rPr>
                <w:rFonts w:eastAsia="Calibri"/>
                <w:sz w:val="22"/>
                <w:szCs w:val="22"/>
              </w:rPr>
              <w:t>4</w:t>
            </w:r>
            <w:r w:rsidRPr="00A173D0">
              <w:rPr>
                <w:rFonts w:eastAsia="Calibri"/>
                <w:sz w:val="22"/>
                <w:szCs w:val="22"/>
              </w:rPr>
              <w:t>.</w:t>
            </w:r>
            <w:r w:rsidR="0000006D">
              <w:rPr>
                <w:rFonts w:eastAsia="Calibri"/>
                <w:sz w:val="22"/>
                <w:szCs w:val="22"/>
              </w:rPr>
              <w:t>4</w:t>
            </w:r>
            <w:r w:rsidR="0091081B">
              <w:rPr>
                <w:rFonts w:eastAsia="Calibri"/>
                <w:sz w:val="22"/>
                <w:szCs w:val="22"/>
              </w:rPr>
              <w:t>2</w:t>
            </w:r>
          </w:p>
        </w:tc>
        <w:tc>
          <w:tcPr>
            <w:tcW w:w="1080" w:type="dxa"/>
          </w:tcPr>
          <w:p w:rsidR="00105F9A" w:rsidRPr="0099752F" w:rsidRDefault="0099752F" w:rsidP="00172C37">
            <w:pPr>
              <w:pStyle w:val="BodyTextIndent"/>
              <w:tabs>
                <w:tab w:val="clear" w:pos="360"/>
                <w:tab w:val="left" w:pos="720"/>
              </w:tabs>
              <w:ind w:left="0"/>
              <w:jc w:val="right"/>
              <w:rPr>
                <w:rFonts w:eastAsia="Calibri"/>
                <w:sz w:val="22"/>
                <w:szCs w:val="22"/>
              </w:rPr>
            </w:pPr>
            <w:r w:rsidRPr="0099752F">
              <w:rPr>
                <w:rFonts w:eastAsia="Calibri"/>
                <w:sz w:val="22"/>
                <w:szCs w:val="22"/>
              </w:rPr>
              <w:t>14.44</w:t>
            </w:r>
          </w:p>
        </w:tc>
        <w:tc>
          <w:tcPr>
            <w:tcW w:w="360" w:type="dxa"/>
          </w:tcPr>
          <w:p w:rsidR="00105F9A" w:rsidRPr="00A173D0" w:rsidRDefault="00105F9A" w:rsidP="00B534AA">
            <w:pPr>
              <w:pStyle w:val="BodyTextIndent"/>
              <w:tabs>
                <w:tab w:val="clear" w:pos="360"/>
                <w:tab w:val="left" w:pos="720"/>
              </w:tabs>
              <w:ind w:left="0"/>
              <w:jc w:val="right"/>
              <w:rPr>
                <w:rFonts w:eastAsia="Calibri"/>
                <w:sz w:val="22"/>
                <w:szCs w:val="22"/>
              </w:rPr>
            </w:pPr>
          </w:p>
        </w:tc>
        <w:tc>
          <w:tcPr>
            <w:tcW w:w="1080" w:type="dxa"/>
          </w:tcPr>
          <w:p w:rsidR="00105F9A" w:rsidRPr="00A173D0" w:rsidRDefault="00E23BE2" w:rsidP="00BC4996">
            <w:pPr>
              <w:pStyle w:val="BodyTextIndent"/>
              <w:tabs>
                <w:tab w:val="clear" w:pos="360"/>
                <w:tab w:val="left" w:pos="720"/>
              </w:tabs>
              <w:ind w:left="0"/>
              <w:jc w:val="right"/>
              <w:rPr>
                <w:rFonts w:eastAsia="Calibri"/>
                <w:sz w:val="22"/>
                <w:szCs w:val="22"/>
              </w:rPr>
            </w:pPr>
            <w:r>
              <w:rPr>
                <w:rFonts w:eastAsia="Calibri"/>
                <w:sz w:val="22"/>
                <w:szCs w:val="22"/>
              </w:rPr>
              <w:t>4</w:t>
            </w:r>
            <w:r w:rsidR="00BC4996">
              <w:rPr>
                <w:rFonts w:eastAsia="Calibri"/>
                <w:sz w:val="22"/>
                <w:szCs w:val="22"/>
              </w:rPr>
              <w:t>3</w:t>
            </w:r>
            <w:r w:rsidR="0000006D">
              <w:rPr>
                <w:rFonts w:eastAsia="Calibri"/>
                <w:sz w:val="22"/>
                <w:szCs w:val="22"/>
              </w:rPr>
              <w:t>.</w:t>
            </w:r>
            <w:r w:rsidR="00BC4996">
              <w:rPr>
                <w:rFonts w:eastAsia="Calibri"/>
                <w:sz w:val="22"/>
                <w:szCs w:val="22"/>
              </w:rPr>
              <w:t>00</w:t>
            </w:r>
          </w:p>
        </w:tc>
        <w:tc>
          <w:tcPr>
            <w:tcW w:w="1080" w:type="dxa"/>
          </w:tcPr>
          <w:p w:rsidR="00105F9A" w:rsidRPr="00317A45" w:rsidRDefault="00317A45" w:rsidP="00D4289E">
            <w:pPr>
              <w:pStyle w:val="BodyTextIndent"/>
              <w:tabs>
                <w:tab w:val="clear" w:pos="360"/>
                <w:tab w:val="left" w:pos="720"/>
              </w:tabs>
              <w:ind w:left="0" w:right="110"/>
              <w:jc w:val="right"/>
              <w:rPr>
                <w:rFonts w:eastAsia="Calibri"/>
                <w:sz w:val="22"/>
                <w:szCs w:val="22"/>
              </w:rPr>
            </w:pPr>
            <w:r w:rsidRPr="00317A45">
              <w:rPr>
                <w:rFonts w:eastAsia="Calibri"/>
                <w:sz w:val="22"/>
                <w:szCs w:val="22"/>
              </w:rPr>
              <w:t>18.97</w:t>
            </w:r>
          </w:p>
        </w:tc>
      </w:tr>
      <w:tr w:rsidR="008F4B7B" w:rsidRPr="00B534AA">
        <w:tc>
          <w:tcPr>
            <w:tcW w:w="400" w:type="dxa"/>
          </w:tcPr>
          <w:p w:rsidR="008F4B7B" w:rsidRPr="00B534AA" w:rsidRDefault="008F4B7B" w:rsidP="00B534AA">
            <w:pPr>
              <w:pStyle w:val="BodyTextIndent"/>
              <w:tabs>
                <w:tab w:val="clear" w:pos="360"/>
                <w:tab w:val="left" w:pos="720"/>
              </w:tabs>
              <w:ind w:left="0"/>
              <w:rPr>
                <w:rFonts w:ascii="Calibri" w:eastAsia="Calibri" w:hAnsi="Calibri"/>
                <w:sz w:val="16"/>
                <w:szCs w:val="16"/>
              </w:rPr>
            </w:pPr>
          </w:p>
        </w:tc>
        <w:tc>
          <w:tcPr>
            <w:tcW w:w="3200" w:type="dxa"/>
          </w:tcPr>
          <w:p w:rsidR="008F4B7B" w:rsidRPr="00B534AA" w:rsidRDefault="008F4B7B" w:rsidP="00B534AA">
            <w:pPr>
              <w:pStyle w:val="BodyTextIndent"/>
              <w:tabs>
                <w:tab w:val="clear" w:pos="360"/>
                <w:tab w:val="left" w:pos="720"/>
              </w:tabs>
              <w:ind w:left="0"/>
              <w:rPr>
                <w:rFonts w:ascii="Calibri" w:eastAsia="Calibri" w:hAnsi="Calibri"/>
                <w:sz w:val="22"/>
                <w:szCs w:val="22"/>
              </w:rPr>
            </w:pPr>
          </w:p>
        </w:tc>
        <w:tc>
          <w:tcPr>
            <w:tcW w:w="1350" w:type="dxa"/>
          </w:tcPr>
          <w:p w:rsidR="008F4B7B" w:rsidRPr="00A65607" w:rsidRDefault="008F4B7B" w:rsidP="00B534AA">
            <w:pPr>
              <w:pStyle w:val="BodyTextIndent"/>
              <w:tabs>
                <w:tab w:val="clear" w:pos="360"/>
                <w:tab w:val="left" w:pos="720"/>
              </w:tabs>
              <w:ind w:left="0"/>
              <w:jc w:val="right"/>
              <w:rPr>
                <w:rFonts w:ascii="Calibri" w:eastAsia="Calibri" w:hAnsi="Calibri"/>
                <w:sz w:val="22"/>
                <w:szCs w:val="22"/>
                <w:highlight w:val="yellow"/>
              </w:rPr>
            </w:pPr>
          </w:p>
        </w:tc>
        <w:tc>
          <w:tcPr>
            <w:tcW w:w="1080" w:type="dxa"/>
          </w:tcPr>
          <w:p w:rsidR="008F4B7B" w:rsidRPr="0091081B" w:rsidRDefault="008F4B7B" w:rsidP="00B534AA">
            <w:pPr>
              <w:pStyle w:val="BodyTextIndent"/>
              <w:tabs>
                <w:tab w:val="clear" w:pos="360"/>
                <w:tab w:val="left" w:pos="720"/>
              </w:tabs>
              <w:ind w:left="0"/>
              <w:jc w:val="right"/>
              <w:rPr>
                <w:rFonts w:ascii="Calibri" w:eastAsia="Calibri" w:hAnsi="Calibri"/>
                <w:sz w:val="22"/>
                <w:szCs w:val="22"/>
                <w:highlight w:val="yellow"/>
              </w:rPr>
            </w:pPr>
          </w:p>
        </w:tc>
        <w:tc>
          <w:tcPr>
            <w:tcW w:w="360" w:type="dxa"/>
          </w:tcPr>
          <w:p w:rsidR="008F4B7B" w:rsidRPr="00A65607" w:rsidRDefault="008F4B7B" w:rsidP="00B534AA">
            <w:pPr>
              <w:pStyle w:val="BodyTextIndent"/>
              <w:tabs>
                <w:tab w:val="clear" w:pos="360"/>
                <w:tab w:val="left" w:pos="720"/>
              </w:tabs>
              <w:ind w:left="0"/>
              <w:jc w:val="right"/>
              <w:rPr>
                <w:rFonts w:ascii="Calibri" w:eastAsia="Calibri" w:hAnsi="Calibri"/>
                <w:sz w:val="22"/>
                <w:szCs w:val="22"/>
                <w:highlight w:val="yellow"/>
              </w:rPr>
            </w:pPr>
          </w:p>
        </w:tc>
        <w:tc>
          <w:tcPr>
            <w:tcW w:w="1080" w:type="dxa"/>
          </w:tcPr>
          <w:p w:rsidR="008F4B7B" w:rsidRPr="00A65607" w:rsidRDefault="008F4B7B" w:rsidP="00B534AA">
            <w:pPr>
              <w:pStyle w:val="BodyTextIndent"/>
              <w:tabs>
                <w:tab w:val="clear" w:pos="360"/>
                <w:tab w:val="left" w:pos="720"/>
              </w:tabs>
              <w:ind w:left="0"/>
              <w:jc w:val="right"/>
              <w:rPr>
                <w:rFonts w:ascii="Calibri" w:eastAsia="Calibri" w:hAnsi="Calibri"/>
                <w:sz w:val="22"/>
                <w:szCs w:val="22"/>
                <w:highlight w:val="yellow"/>
              </w:rPr>
            </w:pPr>
          </w:p>
        </w:tc>
        <w:tc>
          <w:tcPr>
            <w:tcW w:w="1080" w:type="dxa"/>
          </w:tcPr>
          <w:p w:rsidR="008F4B7B" w:rsidRPr="00317A45" w:rsidRDefault="008F4B7B" w:rsidP="00B534AA">
            <w:pPr>
              <w:pStyle w:val="BodyTextIndent"/>
              <w:tabs>
                <w:tab w:val="clear" w:pos="360"/>
                <w:tab w:val="left" w:pos="720"/>
              </w:tabs>
              <w:ind w:left="0"/>
              <w:jc w:val="right"/>
              <w:rPr>
                <w:rFonts w:ascii="Calibri" w:eastAsia="Calibri" w:hAnsi="Calibri"/>
                <w:sz w:val="22"/>
                <w:szCs w:val="22"/>
              </w:rPr>
            </w:pPr>
          </w:p>
        </w:tc>
      </w:tr>
    </w:tbl>
    <w:p w:rsidR="00226EED" w:rsidRDefault="00226EED" w:rsidP="00931B41">
      <w:pPr>
        <w:pStyle w:val="Heading7"/>
        <w:rPr>
          <w:szCs w:val="22"/>
        </w:rPr>
      </w:pPr>
    </w:p>
    <w:p w:rsidR="004250C5" w:rsidRDefault="004250C5" w:rsidP="004250C5"/>
    <w:p w:rsidR="00B56FB8" w:rsidRDefault="00B56FB8" w:rsidP="004250C5"/>
    <w:p w:rsidR="00B56FB8" w:rsidRDefault="00B56FB8" w:rsidP="004250C5"/>
    <w:p w:rsidR="00B56FB8" w:rsidRPr="004250C5" w:rsidRDefault="00B56FB8" w:rsidP="004250C5"/>
    <w:p w:rsidR="00931B41" w:rsidRPr="00C10F97" w:rsidRDefault="00931B41" w:rsidP="00931B41">
      <w:pPr>
        <w:pStyle w:val="Heading7"/>
        <w:rPr>
          <w:szCs w:val="22"/>
        </w:rPr>
      </w:pPr>
      <w:r w:rsidRPr="00C10F97">
        <w:rPr>
          <w:szCs w:val="22"/>
        </w:rPr>
        <w:t>B1</w:t>
      </w:r>
      <w:r w:rsidR="00B77B9B">
        <w:rPr>
          <w:szCs w:val="22"/>
        </w:rPr>
        <w:t>2</w:t>
      </w:r>
      <w:r w:rsidRPr="00C10F97">
        <w:rPr>
          <w:szCs w:val="22"/>
        </w:rPr>
        <w:t>.</w:t>
      </w:r>
      <w:r w:rsidRPr="00C10F97">
        <w:rPr>
          <w:szCs w:val="22"/>
        </w:rPr>
        <w:tab/>
        <w:t>Cash and cash equivalents at end of the financial year</w:t>
      </w:r>
    </w:p>
    <w:p w:rsidR="00931B41" w:rsidRPr="00C10F97" w:rsidRDefault="00931B41" w:rsidP="00931B41">
      <w:pPr>
        <w:rPr>
          <w:sz w:val="22"/>
          <w:szCs w:val="22"/>
        </w:rPr>
      </w:pPr>
    </w:p>
    <w:p w:rsidR="004250C5" w:rsidRDefault="00931B41" w:rsidP="00BC75AA">
      <w:pPr>
        <w:ind w:left="720" w:hanging="720"/>
      </w:pPr>
      <w:r w:rsidRPr="00C10F97">
        <w:tab/>
      </w:r>
      <w:r w:rsidR="000B765D" w:rsidRPr="00C10F97">
        <w:object w:dxaOrig="9242" w:dyaOrig="1912">
          <v:shape id="_x0000_i1026" type="#_x0000_t75" style="width:534.75pt;height:133.5pt" o:ole="">
            <v:imagedata r:id="rId9" o:title=""/>
          </v:shape>
          <o:OLEObject Type="Embed" ProgID="Excel.Sheet.8" ShapeID="_x0000_i1026" DrawAspect="Content" ObjectID="_1477910046" r:id="rId10"/>
        </w:object>
      </w:r>
    </w:p>
    <w:p w:rsidR="001B0253" w:rsidRDefault="001B0253" w:rsidP="00BC75AA">
      <w:pPr>
        <w:ind w:left="720" w:hanging="720"/>
      </w:pPr>
    </w:p>
    <w:p w:rsidR="00F25A3B" w:rsidRDefault="00F25A3B" w:rsidP="00BC75AA">
      <w:pPr>
        <w:ind w:left="720" w:hanging="720"/>
      </w:pPr>
    </w:p>
    <w:p w:rsidR="00BA3128" w:rsidRDefault="00BA3128" w:rsidP="00BC75AA">
      <w:pPr>
        <w:ind w:left="720" w:hanging="720"/>
      </w:pPr>
    </w:p>
    <w:p w:rsidR="00F07303" w:rsidRDefault="00F07303" w:rsidP="00BC75AA">
      <w:pPr>
        <w:ind w:left="720" w:hanging="720"/>
      </w:pPr>
    </w:p>
    <w:p w:rsidR="001B0253" w:rsidRDefault="001B0253" w:rsidP="00BC75AA">
      <w:pPr>
        <w:ind w:left="720" w:hanging="720"/>
      </w:pPr>
    </w:p>
    <w:p w:rsidR="001B0253" w:rsidRDefault="001B0253" w:rsidP="00BC75AA">
      <w:pPr>
        <w:ind w:left="720" w:hanging="720"/>
      </w:pPr>
    </w:p>
    <w:p w:rsidR="00DA4833" w:rsidRPr="00DA4833" w:rsidRDefault="00DA4833" w:rsidP="00BC75AA">
      <w:pPr>
        <w:ind w:left="720" w:hanging="720"/>
        <w:rPr>
          <w:b/>
          <w:sz w:val="22"/>
          <w:szCs w:val="22"/>
        </w:rPr>
      </w:pPr>
      <w:r w:rsidRPr="00DA4833">
        <w:rPr>
          <w:b/>
          <w:sz w:val="22"/>
          <w:szCs w:val="22"/>
        </w:rPr>
        <w:t>B1</w:t>
      </w:r>
      <w:r w:rsidR="00B77B9B">
        <w:rPr>
          <w:b/>
          <w:sz w:val="22"/>
          <w:szCs w:val="22"/>
        </w:rPr>
        <w:t>3</w:t>
      </w:r>
      <w:r w:rsidRPr="00DA4833">
        <w:rPr>
          <w:b/>
          <w:sz w:val="22"/>
          <w:szCs w:val="22"/>
        </w:rPr>
        <w:t>.</w:t>
      </w:r>
      <w:r w:rsidRPr="00DA4833">
        <w:rPr>
          <w:b/>
          <w:sz w:val="22"/>
          <w:szCs w:val="22"/>
        </w:rPr>
        <w:tab/>
        <w:t>Realised and unreali</w:t>
      </w:r>
      <w:r w:rsidR="00226EED">
        <w:rPr>
          <w:b/>
          <w:sz w:val="22"/>
          <w:szCs w:val="22"/>
        </w:rPr>
        <w:t>s</w:t>
      </w:r>
      <w:r w:rsidRPr="00DA4833">
        <w:rPr>
          <w:b/>
          <w:sz w:val="22"/>
          <w:szCs w:val="22"/>
        </w:rPr>
        <w:t xml:space="preserve">ed </w:t>
      </w:r>
      <w:r w:rsidR="008B1D03">
        <w:rPr>
          <w:b/>
          <w:sz w:val="22"/>
          <w:szCs w:val="22"/>
        </w:rPr>
        <w:t>profits of the Group</w:t>
      </w:r>
    </w:p>
    <w:p w:rsidR="00B77B9B" w:rsidRPr="00E2422B" w:rsidRDefault="00DA4833" w:rsidP="00B77B9B">
      <w:pPr>
        <w:ind w:left="720" w:hanging="720"/>
        <w:rPr>
          <w:sz w:val="22"/>
          <w:szCs w:val="22"/>
        </w:rPr>
      </w:pPr>
      <w:r>
        <w:tab/>
      </w:r>
    </w:p>
    <w:p w:rsidR="00E2422B" w:rsidRPr="00E2422B" w:rsidRDefault="00E2422B" w:rsidP="00B77B9B">
      <w:pPr>
        <w:ind w:left="720" w:hanging="720"/>
        <w:rPr>
          <w:sz w:val="22"/>
          <w:szCs w:val="22"/>
        </w:rPr>
      </w:pPr>
      <w:r w:rsidRPr="00E2422B">
        <w:rPr>
          <w:sz w:val="22"/>
          <w:szCs w:val="22"/>
        </w:rPr>
        <w:t xml:space="preserve">                                                                                3</w:t>
      </w:r>
      <w:r w:rsidR="00D4289E">
        <w:rPr>
          <w:sz w:val="22"/>
          <w:szCs w:val="22"/>
        </w:rPr>
        <w:t>0</w:t>
      </w:r>
      <w:r w:rsidRPr="00E2422B">
        <w:rPr>
          <w:sz w:val="22"/>
          <w:szCs w:val="22"/>
        </w:rPr>
        <w:t>.</w:t>
      </w:r>
      <w:r w:rsidR="00470096">
        <w:rPr>
          <w:sz w:val="22"/>
          <w:szCs w:val="22"/>
        </w:rPr>
        <w:t>0</w:t>
      </w:r>
      <w:r w:rsidR="0099752F">
        <w:rPr>
          <w:sz w:val="22"/>
          <w:szCs w:val="22"/>
        </w:rPr>
        <w:t>9</w:t>
      </w:r>
      <w:r w:rsidRPr="00E2422B">
        <w:rPr>
          <w:sz w:val="22"/>
          <w:szCs w:val="22"/>
        </w:rPr>
        <w:t>.1</w:t>
      </w:r>
      <w:r w:rsidR="00470096">
        <w:rPr>
          <w:sz w:val="22"/>
          <w:szCs w:val="22"/>
        </w:rPr>
        <w:t>4</w:t>
      </w:r>
      <w:r w:rsidRPr="00E2422B">
        <w:rPr>
          <w:sz w:val="22"/>
          <w:szCs w:val="22"/>
        </w:rPr>
        <w:t xml:space="preserve">           3</w:t>
      </w:r>
      <w:r w:rsidR="0099752F">
        <w:rPr>
          <w:sz w:val="22"/>
          <w:szCs w:val="22"/>
        </w:rPr>
        <w:t>0</w:t>
      </w:r>
      <w:r w:rsidR="00470096">
        <w:rPr>
          <w:sz w:val="22"/>
          <w:szCs w:val="22"/>
        </w:rPr>
        <w:t>.</w:t>
      </w:r>
      <w:r w:rsidR="00A65607">
        <w:rPr>
          <w:sz w:val="22"/>
          <w:szCs w:val="22"/>
        </w:rPr>
        <w:t>0</w:t>
      </w:r>
      <w:r w:rsidR="0099752F">
        <w:rPr>
          <w:sz w:val="22"/>
          <w:szCs w:val="22"/>
        </w:rPr>
        <w:t>6</w:t>
      </w:r>
      <w:r w:rsidR="00470096">
        <w:rPr>
          <w:sz w:val="22"/>
          <w:szCs w:val="22"/>
        </w:rPr>
        <w:t>.1</w:t>
      </w:r>
      <w:r w:rsidR="00A65607">
        <w:rPr>
          <w:sz w:val="22"/>
          <w:szCs w:val="22"/>
        </w:rPr>
        <w:t>4</w:t>
      </w:r>
    </w:p>
    <w:p w:rsidR="00E2422B" w:rsidRPr="00E2422B" w:rsidRDefault="00E2422B" w:rsidP="003B0C1F">
      <w:pPr>
        <w:tabs>
          <w:tab w:val="left" w:pos="5220"/>
        </w:tabs>
        <w:ind w:left="720" w:hanging="720"/>
        <w:rPr>
          <w:sz w:val="22"/>
          <w:szCs w:val="22"/>
        </w:rPr>
      </w:pPr>
      <w:r w:rsidRPr="00E2422B">
        <w:rPr>
          <w:sz w:val="22"/>
          <w:szCs w:val="22"/>
        </w:rPr>
        <w:t xml:space="preserve">                                                                                 RM’000            RM’000</w:t>
      </w:r>
    </w:p>
    <w:p w:rsidR="00E2422B" w:rsidRPr="00E2422B" w:rsidRDefault="00E2422B" w:rsidP="00B77B9B">
      <w:pPr>
        <w:ind w:left="720" w:hanging="720"/>
        <w:rPr>
          <w:sz w:val="22"/>
          <w:szCs w:val="22"/>
        </w:rPr>
      </w:pPr>
      <w:r w:rsidRPr="00E2422B">
        <w:rPr>
          <w:sz w:val="22"/>
          <w:szCs w:val="22"/>
        </w:rPr>
        <w:t xml:space="preserve">               Total retained profits</w:t>
      </w:r>
    </w:p>
    <w:p w:rsidR="00E2422B" w:rsidRPr="00154FC1" w:rsidRDefault="00E2422B" w:rsidP="00E2422B">
      <w:pPr>
        <w:numPr>
          <w:ilvl w:val="0"/>
          <w:numId w:val="44"/>
        </w:numPr>
        <w:rPr>
          <w:sz w:val="22"/>
          <w:szCs w:val="22"/>
        </w:rPr>
      </w:pPr>
      <w:r w:rsidRPr="00154FC1">
        <w:rPr>
          <w:sz w:val="22"/>
          <w:szCs w:val="22"/>
        </w:rPr>
        <w:t xml:space="preserve">Realised gain                                      </w:t>
      </w:r>
      <w:r w:rsidR="003B0C1F" w:rsidRPr="00154FC1">
        <w:rPr>
          <w:sz w:val="22"/>
          <w:szCs w:val="22"/>
        </w:rPr>
        <w:t xml:space="preserve">   </w:t>
      </w:r>
      <w:r w:rsidR="0099752F">
        <w:rPr>
          <w:sz w:val="22"/>
          <w:szCs w:val="22"/>
        </w:rPr>
        <w:t>8</w:t>
      </w:r>
      <w:r w:rsidR="0000006D">
        <w:rPr>
          <w:sz w:val="22"/>
          <w:szCs w:val="22"/>
        </w:rPr>
        <w:t>4</w:t>
      </w:r>
      <w:r w:rsidR="0099752F">
        <w:rPr>
          <w:sz w:val="22"/>
          <w:szCs w:val="22"/>
        </w:rPr>
        <w:t>,</w:t>
      </w:r>
      <w:r w:rsidR="0000006D">
        <w:rPr>
          <w:sz w:val="22"/>
          <w:szCs w:val="22"/>
        </w:rPr>
        <w:t>64</w:t>
      </w:r>
      <w:r w:rsidR="000B765D">
        <w:rPr>
          <w:sz w:val="22"/>
          <w:szCs w:val="22"/>
        </w:rPr>
        <w:t>7</w:t>
      </w:r>
      <w:r w:rsidR="003E5785" w:rsidRPr="00154FC1">
        <w:rPr>
          <w:sz w:val="22"/>
          <w:szCs w:val="22"/>
        </w:rPr>
        <w:t xml:space="preserve">               </w:t>
      </w:r>
      <w:r w:rsidR="0099752F">
        <w:rPr>
          <w:sz w:val="22"/>
          <w:szCs w:val="22"/>
        </w:rPr>
        <w:t>73</w:t>
      </w:r>
      <w:r w:rsidR="003D44DB" w:rsidRPr="00154FC1">
        <w:rPr>
          <w:sz w:val="22"/>
          <w:szCs w:val="22"/>
        </w:rPr>
        <w:t>,</w:t>
      </w:r>
      <w:r w:rsidR="0099752F">
        <w:rPr>
          <w:sz w:val="22"/>
          <w:szCs w:val="22"/>
        </w:rPr>
        <w:t>427</w:t>
      </w:r>
    </w:p>
    <w:p w:rsidR="00E2422B" w:rsidRPr="00154FC1" w:rsidRDefault="00E2422B" w:rsidP="00E2422B">
      <w:pPr>
        <w:numPr>
          <w:ilvl w:val="0"/>
          <w:numId w:val="44"/>
        </w:numPr>
        <w:rPr>
          <w:sz w:val="22"/>
          <w:szCs w:val="22"/>
          <w:u w:val="single"/>
        </w:rPr>
      </w:pPr>
      <w:r w:rsidRPr="00154FC1">
        <w:rPr>
          <w:sz w:val="22"/>
          <w:szCs w:val="22"/>
        </w:rPr>
        <w:t xml:space="preserve">Unrealised loss                                 </w:t>
      </w:r>
      <w:r w:rsidR="003B0C1F" w:rsidRPr="00154FC1">
        <w:rPr>
          <w:sz w:val="22"/>
          <w:szCs w:val="22"/>
        </w:rPr>
        <w:t xml:space="preserve">   </w:t>
      </w:r>
      <w:r w:rsidRPr="00154FC1">
        <w:rPr>
          <w:sz w:val="22"/>
          <w:szCs w:val="22"/>
        </w:rPr>
        <w:t xml:space="preserve"> </w:t>
      </w:r>
      <w:r w:rsidRPr="00154FC1">
        <w:rPr>
          <w:sz w:val="22"/>
          <w:szCs w:val="22"/>
          <w:u w:val="single"/>
        </w:rPr>
        <w:t>(</w:t>
      </w:r>
      <w:r w:rsidR="00471295" w:rsidRPr="00154FC1">
        <w:rPr>
          <w:sz w:val="22"/>
          <w:szCs w:val="22"/>
          <w:u w:val="single"/>
        </w:rPr>
        <w:t>3</w:t>
      </w:r>
      <w:r w:rsidR="003C0562">
        <w:rPr>
          <w:sz w:val="22"/>
          <w:szCs w:val="22"/>
          <w:u w:val="single"/>
        </w:rPr>
        <w:t>7</w:t>
      </w:r>
      <w:r w:rsidRPr="00154FC1">
        <w:rPr>
          <w:sz w:val="22"/>
          <w:szCs w:val="22"/>
          <w:u w:val="single"/>
        </w:rPr>
        <w:t>,</w:t>
      </w:r>
      <w:r w:rsidR="00B4182E">
        <w:rPr>
          <w:sz w:val="22"/>
          <w:szCs w:val="22"/>
          <w:u w:val="single"/>
        </w:rPr>
        <w:t>61</w:t>
      </w:r>
      <w:r w:rsidR="0099752F">
        <w:rPr>
          <w:sz w:val="22"/>
          <w:szCs w:val="22"/>
          <w:u w:val="single"/>
        </w:rPr>
        <w:t>4</w:t>
      </w:r>
      <w:r w:rsidRPr="00154FC1">
        <w:rPr>
          <w:sz w:val="22"/>
          <w:szCs w:val="22"/>
          <w:u w:val="single"/>
        </w:rPr>
        <w:t xml:space="preserve">) </w:t>
      </w:r>
      <w:r w:rsidR="003B0C1F" w:rsidRPr="00154FC1">
        <w:rPr>
          <w:sz w:val="22"/>
          <w:szCs w:val="22"/>
        </w:rPr>
        <w:t xml:space="preserve">          </w:t>
      </w:r>
      <w:r w:rsidRPr="00154FC1">
        <w:rPr>
          <w:sz w:val="22"/>
          <w:szCs w:val="22"/>
        </w:rPr>
        <w:t xml:space="preserve"> </w:t>
      </w:r>
      <w:r w:rsidRPr="00154FC1">
        <w:rPr>
          <w:sz w:val="22"/>
          <w:szCs w:val="22"/>
          <w:u w:val="single"/>
        </w:rPr>
        <w:t>(</w:t>
      </w:r>
      <w:r w:rsidR="00BA4074" w:rsidRPr="00154FC1">
        <w:rPr>
          <w:sz w:val="22"/>
          <w:szCs w:val="22"/>
          <w:u w:val="single"/>
        </w:rPr>
        <w:t>3</w:t>
      </w:r>
      <w:r w:rsidR="00A65607">
        <w:rPr>
          <w:sz w:val="22"/>
          <w:szCs w:val="22"/>
          <w:u w:val="single"/>
        </w:rPr>
        <w:t>7</w:t>
      </w:r>
      <w:r w:rsidRPr="00154FC1">
        <w:rPr>
          <w:sz w:val="22"/>
          <w:szCs w:val="22"/>
          <w:u w:val="single"/>
        </w:rPr>
        <w:t>,</w:t>
      </w:r>
      <w:r w:rsidR="0099752F">
        <w:rPr>
          <w:sz w:val="22"/>
          <w:szCs w:val="22"/>
          <w:u w:val="single"/>
        </w:rPr>
        <w:t>616</w:t>
      </w:r>
      <w:r w:rsidRPr="00154FC1">
        <w:rPr>
          <w:sz w:val="22"/>
          <w:szCs w:val="22"/>
          <w:u w:val="single"/>
        </w:rPr>
        <w:t>)</w:t>
      </w:r>
    </w:p>
    <w:p w:rsidR="00E2422B" w:rsidRPr="00154FC1" w:rsidRDefault="00E2422B" w:rsidP="00E2422B">
      <w:pPr>
        <w:ind w:left="780"/>
        <w:rPr>
          <w:sz w:val="22"/>
          <w:szCs w:val="22"/>
        </w:rPr>
      </w:pPr>
      <w:r w:rsidRPr="00154FC1">
        <w:rPr>
          <w:sz w:val="22"/>
          <w:szCs w:val="22"/>
        </w:rPr>
        <w:t xml:space="preserve">Total retained profits                                 </w:t>
      </w:r>
      <w:r w:rsidR="003E5785" w:rsidRPr="00154FC1">
        <w:rPr>
          <w:sz w:val="22"/>
          <w:szCs w:val="22"/>
        </w:rPr>
        <w:t xml:space="preserve">    </w:t>
      </w:r>
      <w:r w:rsidR="0099752F">
        <w:rPr>
          <w:sz w:val="22"/>
          <w:szCs w:val="22"/>
        </w:rPr>
        <w:t>4</w:t>
      </w:r>
      <w:r w:rsidR="0000006D">
        <w:rPr>
          <w:sz w:val="22"/>
          <w:szCs w:val="22"/>
        </w:rPr>
        <w:t>7</w:t>
      </w:r>
      <w:r w:rsidR="00B4182E">
        <w:rPr>
          <w:sz w:val="22"/>
          <w:szCs w:val="22"/>
        </w:rPr>
        <w:t>,</w:t>
      </w:r>
      <w:r w:rsidR="0000006D">
        <w:rPr>
          <w:sz w:val="22"/>
          <w:szCs w:val="22"/>
        </w:rPr>
        <w:t>033</w:t>
      </w:r>
      <w:r w:rsidR="003B0C1F" w:rsidRPr="00154FC1">
        <w:rPr>
          <w:sz w:val="22"/>
          <w:szCs w:val="22"/>
        </w:rPr>
        <w:t xml:space="preserve">           </w:t>
      </w:r>
      <w:r w:rsidR="0096408C" w:rsidRPr="00154FC1">
        <w:rPr>
          <w:sz w:val="22"/>
          <w:szCs w:val="22"/>
        </w:rPr>
        <w:t xml:space="preserve">   </w:t>
      </w:r>
      <w:r w:rsidR="0099752F">
        <w:rPr>
          <w:sz w:val="22"/>
          <w:szCs w:val="22"/>
        </w:rPr>
        <w:t>35</w:t>
      </w:r>
      <w:r w:rsidR="0096408C" w:rsidRPr="00154FC1">
        <w:rPr>
          <w:sz w:val="22"/>
          <w:szCs w:val="22"/>
        </w:rPr>
        <w:t>,</w:t>
      </w:r>
      <w:r w:rsidR="00A65607">
        <w:rPr>
          <w:sz w:val="22"/>
          <w:szCs w:val="22"/>
        </w:rPr>
        <w:t>8</w:t>
      </w:r>
      <w:r w:rsidR="0099752F">
        <w:rPr>
          <w:sz w:val="22"/>
          <w:szCs w:val="22"/>
        </w:rPr>
        <w:t>11</w:t>
      </w:r>
      <w:r w:rsidRPr="00154FC1">
        <w:rPr>
          <w:sz w:val="22"/>
          <w:szCs w:val="22"/>
        </w:rPr>
        <w:t xml:space="preserve"> </w:t>
      </w:r>
    </w:p>
    <w:p w:rsidR="00E2422B" w:rsidRPr="00154FC1" w:rsidRDefault="00E2422B" w:rsidP="00B77B9B">
      <w:pPr>
        <w:ind w:left="720" w:hanging="720"/>
        <w:rPr>
          <w:sz w:val="22"/>
          <w:szCs w:val="22"/>
        </w:rPr>
      </w:pPr>
      <w:r w:rsidRPr="00154FC1">
        <w:rPr>
          <w:sz w:val="22"/>
          <w:szCs w:val="22"/>
        </w:rPr>
        <w:t xml:space="preserve">               Add : Consolidation adjustment               </w:t>
      </w:r>
      <w:r w:rsidR="003B0C1F" w:rsidRPr="00154FC1">
        <w:rPr>
          <w:sz w:val="22"/>
          <w:szCs w:val="22"/>
        </w:rPr>
        <w:t xml:space="preserve">   </w:t>
      </w:r>
      <w:r w:rsidRPr="00154FC1">
        <w:rPr>
          <w:sz w:val="22"/>
          <w:szCs w:val="22"/>
        </w:rPr>
        <w:t xml:space="preserve"> </w:t>
      </w:r>
      <w:r w:rsidR="003D44DB" w:rsidRPr="00154FC1">
        <w:rPr>
          <w:sz w:val="22"/>
          <w:szCs w:val="22"/>
          <w:u w:val="single"/>
        </w:rPr>
        <w:t>10,560</w:t>
      </w:r>
      <w:r w:rsidR="003B0C1F" w:rsidRPr="00154FC1">
        <w:rPr>
          <w:sz w:val="22"/>
          <w:szCs w:val="22"/>
        </w:rPr>
        <w:t xml:space="preserve">        </w:t>
      </w:r>
      <w:r w:rsidRPr="00154FC1">
        <w:rPr>
          <w:sz w:val="22"/>
          <w:szCs w:val="22"/>
        </w:rPr>
        <w:t xml:space="preserve">     </w:t>
      </w:r>
      <w:r w:rsidR="00F25A3B" w:rsidRPr="00154FC1">
        <w:rPr>
          <w:sz w:val="22"/>
          <w:szCs w:val="22"/>
        </w:rPr>
        <w:t xml:space="preserve"> </w:t>
      </w:r>
      <w:r w:rsidR="0037068C" w:rsidRPr="00154FC1">
        <w:rPr>
          <w:sz w:val="22"/>
          <w:szCs w:val="22"/>
          <w:u w:val="single"/>
        </w:rPr>
        <w:t>10</w:t>
      </w:r>
      <w:r w:rsidR="003D44DB" w:rsidRPr="00154FC1">
        <w:rPr>
          <w:sz w:val="22"/>
          <w:szCs w:val="22"/>
          <w:u w:val="single"/>
        </w:rPr>
        <w:t>,5</w:t>
      </w:r>
      <w:r w:rsidR="0037068C" w:rsidRPr="00154FC1">
        <w:rPr>
          <w:sz w:val="22"/>
          <w:szCs w:val="22"/>
          <w:u w:val="single"/>
        </w:rPr>
        <w:t>6</w:t>
      </w:r>
      <w:r w:rsidR="003D44DB" w:rsidRPr="00154FC1">
        <w:rPr>
          <w:sz w:val="22"/>
          <w:szCs w:val="22"/>
          <w:u w:val="single"/>
        </w:rPr>
        <w:t>0</w:t>
      </w:r>
    </w:p>
    <w:p w:rsidR="00E2422B" w:rsidRDefault="00E2422B" w:rsidP="00B77B9B">
      <w:pPr>
        <w:ind w:left="720" w:hanging="720"/>
        <w:rPr>
          <w:sz w:val="22"/>
          <w:szCs w:val="22"/>
          <w:u w:val="single"/>
        </w:rPr>
      </w:pPr>
      <w:r w:rsidRPr="00154FC1">
        <w:rPr>
          <w:sz w:val="22"/>
          <w:szCs w:val="22"/>
        </w:rPr>
        <w:t xml:space="preserve">                                                                                  </w:t>
      </w:r>
      <w:r w:rsidR="003B0C1F" w:rsidRPr="00154FC1">
        <w:rPr>
          <w:sz w:val="22"/>
          <w:szCs w:val="22"/>
        </w:rPr>
        <w:t xml:space="preserve">  </w:t>
      </w:r>
      <w:r w:rsidRPr="00154FC1">
        <w:rPr>
          <w:sz w:val="22"/>
          <w:szCs w:val="22"/>
        </w:rPr>
        <w:t xml:space="preserve"> </w:t>
      </w:r>
      <w:r w:rsidR="00154FC1" w:rsidRPr="00154FC1">
        <w:rPr>
          <w:sz w:val="22"/>
          <w:szCs w:val="22"/>
        </w:rPr>
        <w:t xml:space="preserve"> </w:t>
      </w:r>
      <w:r w:rsidR="0099752F">
        <w:rPr>
          <w:sz w:val="22"/>
          <w:szCs w:val="22"/>
          <w:u w:val="single"/>
        </w:rPr>
        <w:t>5</w:t>
      </w:r>
      <w:r w:rsidR="0000006D">
        <w:rPr>
          <w:sz w:val="22"/>
          <w:szCs w:val="22"/>
          <w:u w:val="single"/>
        </w:rPr>
        <w:t>7</w:t>
      </w:r>
      <w:r w:rsidR="00154FC1" w:rsidRPr="00154FC1">
        <w:rPr>
          <w:sz w:val="22"/>
          <w:szCs w:val="22"/>
          <w:u w:val="single"/>
        </w:rPr>
        <w:t>,</w:t>
      </w:r>
      <w:r w:rsidR="0000006D">
        <w:rPr>
          <w:sz w:val="22"/>
          <w:szCs w:val="22"/>
          <w:u w:val="single"/>
        </w:rPr>
        <w:t>593</w:t>
      </w:r>
      <w:r w:rsidR="003B0C1F" w:rsidRPr="00154FC1">
        <w:rPr>
          <w:sz w:val="22"/>
          <w:szCs w:val="22"/>
        </w:rPr>
        <w:t xml:space="preserve">     </w:t>
      </w:r>
      <w:r w:rsidRPr="00154FC1">
        <w:rPr>
          <w:sz w:val="22"/>
          <w:szCs w:val="22"/>
        </w:rPr>
        <w:t xml:space="preserve">        </w:t>
      </w:r>
      <w:r w:rsidR="0099752F">
        <w:rPr>
          <w:sz w:val="22"/>
          <w:szCs w:val="22"/>
          <w:u w:val="single"/>
        </w:rPr>
        <w:t>46,371</w:t>
      </w:r>
    </w:p>
    <w:p w:rsidR="0096408C" w:rsidRPr="00E2422B" w:rsidRDefault="0096408C" w:rsidP="00B77B9B">
      <w:pPr>
        <w:ind w:left="720" w:hanging="720"/>
        <w:rPr>
          <w:sz w:val="22"/>
          <w:szCs w:val="22"/>
        </w:rPr>
      </w:pPr>
    </w:p>
    <w:p w:rsidR="00E2422B" w:rsidRPr="00E2422B" w:rsidRDefault="00E2422B" w:rsidP="00B77B9B">
      <w:pPr>
        <w:ind w:left="720" w:hanging="720"/>
        <w:rPr>
          <w:sz w:val="22"/>
          <w:szCs w:val="22"/>
        </w:rPr>
      </w:pPr>
    </w:p>
    <w:p w:rsidR="00E2422B" w:rsidRDefault="00E2422B" w:rsidP="00B77B9B">
      <w:pPr>
        <w:ind w:left="720" w:hanging="720"/>
      </w:pPr>
    </w:p>
    <w:p w:rsidR="005C21E7" w:rsidRDefault="005C21E7" w:rsidP="00B77B9B">
      <w:pPr>
        <w:ind w:left="720" w:hanging="720"/>
      </w:pPr>
    </w:p>
    <w:p w:rsidR="00B77B9B" w:rsidRDefault="00B77B9B" w:rsidP="00B77B9B">
      <w:pPr>
        <w:ind w:left="720" w:hanging="720"/>
        <w:rPr>
          <w:b/>
          <w:sz w:val="22"/>
          <w:szCs w:val="22"/>
        </w:rPr>
      </w:pPr>
      <w:r w:rsidRPr="00B77B9B">
        <w:rPr>
          <w:b/>
          <w:sz w:val="22"/>
          <w:szCs w:val="22"/>
        </w:rPr>
        <w:t xml:space="preserve"> </w:t>
      </w:r>
      <w:r w:rsidRPr="00DA4833">
        <w:rPr>
          <w:b/>
          <w:sz w:val="22"/>
          <w:szCs w:val="22"/>
        </w:rPr>
        <w:t>B1</w:t>
      </w:r>
      <w:r>
        <w:rPr>
          <w:b/>
          <w:sz w:val="22"/>
          <w:szCs w:val="22"/>
        </w:rPr>
        <w:t>4</w:t>
      </w:r>
      <w:r w:rsidRPr="00DA4833">
        <w:rPr>
          <w:b/>
          <w:sz w:val="22"/>
          <w:szCs w:val="22"/>
        </w:rPr>
        <w:t>.</w:t>
      </w:r>
      <w:r w:rsidRPr="00DA4833">
        <w:rPr>
          <w:b/>
          <w:sz w:val="22"/>
          <w:szCs w:val="22"/>
        </w:rPr>
        <w:tab/>
      </w:r>
      <w:r>
        <w:rPr>
          <w:b/>
          <w:sz w:val="22"/>
          <w:szCs w:val="22"/>
        </w:rPr>
        <w:t>Profit Before Tax</w:t>
      </w:r>
    </w:p>
    <w:p w:rsidR="00DA4833" w:rsidRDefault="00DA4833" w:rsidP="005C21E7">
      <w:pPr>
        <w:rPr>
          <w:sz w:val="22"/>
          <w:szCs w:val="22"/>
        </w:rPr>
      </w:pPr>
    </w:p>
    <w:p w:rsidR="00E2422B" w:rsidRDefault="00E2422B" w:rsidP="005C21E7">
      <w:pPr>
        <w:rPr>
          <w:sz w:val="22"/>
          <w:szCs w:val="22"/>
        </w:rPr>
      </w:pPr>
      <w:r>
        <w:rPr>
          <w:sz w:val="22"/>
          <w:szCs w:val="22"/>
        </w:rPr>
        <w:t xml:space="preserve">                                                                            </w:t>
      </w:r>
      <w:r w:rsidR="003D506F">
        <w:rPr>
          <w:sz w:val="22"/>
          <w:szCs w:val="22"/>
        </w:rPr>
        <w:t>Individual Quarter    Cumulative Quarter</w:t>
      </w:r>
    </w:p>
    <w:p w:rsidR="00E2422B" w:rsidRDefault="003D506F" w:rsidP="005C21E7">
      <w:pPr>
        <w:rPr>
          <w:sz w:val="22"/>
          <w:szCs w:val="22"/>
        </w:rPr>
      </w:pPr>
      <w:r>
        <w:rPr>
          <w:sz w:val="22"/>
          <w:szCs w:val="22"/>
        </w:rPr>
        <w:t xml:space="preserve">                                                                                    3</w:t>
      </w:r>
      <w:r w:rsidR="00A65607">
        <w:rPr>
          <w:sz w:val="22"/>
          <w:szCs w:val="22"/>
        </w:rPr>
        <w:t>0</w:t>
      </w:r>
      <w:r w:rsidR="00725212">
        <w:rPr>
          <w:sz w:val="22"/>
          <w:szCs w:val="22"/>
        </w:rPr>
        <w:t>.</w:t>
      </w:r>
      <w:r w:rsidR="00470096">
        <w:rPr>
          <w:sz w:val="22"/>
          <w:szCs w:val="22"/>
        </w:rPr>
        <w:t>0</w:t>
      </w:r>
      <w:r w:rsidR="0099752F">
        <w:rPr>
          <w:sz w:val="22"/>
          <w:szCs w:val="22"/>
        </w:rPr>
        <w:t>9</w:t>
      </w:r>
      <w:r w:rsidR="006E05E3">
        <w:rPr>
          <w:sz w:val="22"/>
          <w:szCs w:val="22"/>
        </w:rPr>
        <w:t>.1</w:t>
      </w:r>
      <w:r w:rsidR="00470096">
        <w:rPr>
          <w:sz w:val="22"/>
          <w:szCs w:val="22"/>
        </w:rPr>
        <w:t>4</w:t>
      </w:r>
      <w:r>
        <w:rPr>
          <w:sz w:val="22"/>
          <w:szCs w:val="22"/>
        </w:rPr>
        <w:t xml:space="preserve">                   3</w:t>
      </w:r>
      <w:r w:rsidR="00A65607">
        <w:rPr>
          <w:sz w:val="22"/>
          <w:szCs w:val="22"/>
        </w:rPr>
        <w:t>0</w:t>
      </w:r>
      <w:r w:rsidR="00725212">
        <w:rPr>
          <w:sz w:val="22"/>
          <w:szCs w:val="22"/>
        </w:rPr>
        <w:t>.</w:t>
      </w:r>
      <w:r w:rsidR="00470096">
        <w:rPr>
          <w:sz w:val="22"/>
          <w:szCs w:val="22"/>
        </w:rPr>
        <w:t>0</w:t>
      </w:r>
      <w:r w:rsidR="0099752F">
        <w:rPr>
          <w:sz w:val="22"/>
          <w:szCs w:val="22"/>
        </w:rPr>
        <w:t>9</w:t>
      </w:r>
      <w:r w:rsidR="006E05E3">
        <w:rPr>
          <w:sz w:val="22"/>
          <w:szCs w:val="22"/>
        </w:rPr>
        <w:t>.1</w:t>
      </w:r>
      <w:r w:rsidR="00470096">
        <w:rPr>
          <w:sz w:val="22"/>
          <w:szCs w:val="22"/>
        </w:rPr>
        <w:t>4</w:t>
      </w:r>
    </w:p>
    <w:p w:rsidR="003D506F" w:rsidRPr="00E2422B" w:rsidRDefault="003D506F" w:rsidP="003D506F">
      <w:pPr>
        <w:ind w:left="720" w:hanging="720"/>
        <w:rPr>
          <w:sz w:val="22"/>
          <w:szCs w:val="22"/>
        </w:rPr>
      </w:pPr>
      <w:r>
        <w:rPr>
          <w:sz w:val="22"/>
          <w:szCs w:val="22"/>
        </w:rPr>
        <w:t xml:space="preserve">      </w:t>
      </w:r>
      <w:r w:rsidRPr="00E2422B">
        <w:rPr>
          <w:sz w:val="22"/>
          <w:szCs w:val="22"/>
        </w:rPr>
        <w:t xml:space="preserve">                                               </w:t>
      </w:r>
      <w:r>
        <w:rPr>
          <w:sz w:val="22"/>
          <w:szCs w:val="22"/>
        </w:rPr>
        <w:t xml:space="preserve">                              </w:t>
      </w:r>
      <w:r w:rsidRPr="00E2422B">
        <w:rPr>
          <w:sz w:val="22"/>
          <w:szCs w:val="22"/>
        </w:rPr>
        <w:t xml:space="preserve">  RM’000         </w:t>
      </w:r>
      <w:r>
        <w:rPr>
          <w:sz w:val="22"/>
          <w:szCs w:val="22"/>
        </w:rPr>
        <w:t xml:space="preserve">        </w:t>
      </w:r>
      <w:r w:rsidRPr="00E2422B">
        <w:rPr>
          <w:sz w:val="22"/>
          <w:szCs w:val="22"/>
        </w:rPr>
        <w:t xml:space="preserve">   RM’000</w:t>
      </w:r>
    </w:p>
    <w:p w:rsidR="00E2422B" w:rsidRDefault="003E5785" w:rsidP="005C21E7">
      <w:pPr>
        <w:rPr>
          <w:sz w:val="22"/>
          <w:szCs w:val="22"/>
        </w:rPr>
      </w:pPr>
      <w:r>
        <w:rPr>
          <w:sz w:val="22"/>
          <w:szCs w:val="22"/>
        </w:rPr>
        <w:t xml:space="preserve">Profit </w:t>
      </w:r>
      <w:r w:rsidR="003D506F">
        <w:rPr>
          <w:sz w:val="22"/>
          <w:szCs w:val="22"/>
        </w:rPr>
        <w:t>before tax is arrived at</w:t>
      </w:r>
    </w:p>
    <w:p w:rsidR="00E2422B" w:rsidRDefault="003D506F" w:rsidP="005C21E7">
      <w:pPr>
        <w:rPr>
          <w:sz w:val="22"/>
          <w:szCs w:val="22"/>
        </w:rPr>
      </w:pPr>
      <w:r>
        <w:rPr>
          <w:sz w:val="22"/>
          <w:szCs w:val="22"/>
        </w:rPr>
        <w:t>After charging / (crediting) :-</w:t>
      </w:r>
    </w:p>
    <w:p w:rsidR="00E2422B" w:rsidRDefault="00E2422B" w:rsidP="005C21E7">
      <w:pPr>
        <w:rPr>
          <w:sz w:val="22"/>
          <w:szCs w:val="22"/>
        </w:rPr>
      </w:pPr>
    </w:p>
    <w:p w:rsidR="003D506F" w:rsidRPr="00B4182E" w:rsidRDefault="003D506F" w:rsidP="005C21E7">
      <w:pPr>
        <w:rPr>
          <w:sz w:val="22"/>
          <w:szCs w:val="22"/>
        </w:rPr>
      </w:pPr>
      <w:r w:rsidRPr="0051129A">
        <w:rPr>
          <w:sz w:val="22"/>
          <w:szCs w:val="22"/>
        </w:rPr>
        <w:t xml:space="preserve">Interest </w:t>
      </w:r>
      <w:r w:rsidRPr="00B4182E">
        <w:rPr>
          <w:sz w:val="22"/>
          <w:szCs w:val="22"/>
        </w:rPr>
        <w:t xml:space="preserve">income                                                            </w:t>
      </w:r>
      <w:r w:rsidR="0099752F">
        <w:rPr>
          <w:sz w:val="22"/>
          <w:szCs w:val="22"/>
        </w:rPr>
        <w:t xml:space="preserve"> </w:t>
      </w:r>
      <w:r w:rsidRPr="00B4182E">
        <w:rPr>
          <w:sz w:val="22"/>
          <w:szCs w:val="22"/>
        </w:rPr>
        <w:t xml:space="preserve">   (</w:t>
      </w:r>
      <w:r w:rsidR="0099752F">
        <w:rPr>
          <w:sz w:val="22"/>
          <w:szCs w:val="22"/>
        </w:rPr>
        <w:t>45</w:t>
      </w:r>
      <w:r w:rsidRPr="00B4182E">
        <w:rPr>
          <w:sz w:val="22"/>
          <w:szCs w:val="22"/>
        </w:rPr>
        <w:t xml:space="preserve">)                        </w:t>
      </w:r>
      <w:r w:rsidR="00B4182E">
        <w:rPr>
          <w:sz w:val="22"/>
          <w:szCs w:val="22"/>
        </w:rPr>
        <w:t xml:space="preserve">  </w:t>
      </w:r>
      <w:r w:rsidRPr="00B4182E">
        <w:rPr>
          <w:sz w:val="22"/>
          <w:szCs w:val="22"/>
        </w:rPr>
        <w:t>(</w:t>
      </w:r>
      <w:r w:rsidR="0099752F">
        <w:rPr>
          <w:sz w:val="22"/>
          <w:szCs w:val="22"/>
        </w:rPr>
        <w:t>411</w:t>
      </w:r>
      <w:r w:rsidRPr="00B4182E">
        <w:rPr>
          <w:sz w:val="22"/>
          <w:szCs w:val="22"/>
        </w:rPr>
        <w:t>)</w:t>
      </w:r>
    </w:p>
    <w:p w:rsidR="003D506F" w:rsidRPr="00B4182E" w:rsidRDefault="003D506F" w:rsidP="003D506F">
      <w:pPr>
        <w:rPr>
          <w:sz w:val="22"/>
          <w:szCs w:val="22"/>
        </w:rPr>
      </w:pPr>
      <w:r w:rsidRPr="00B4182E">
        <w:rPr>
          <w:sz w:val="22"/>
          <w:szCs w:val="22"/>
        </w:rPr>
        <w:t xml:space="preserve">Other income                                   </w:t>
      </w:r>
      <w:r w:rsidR="008B7AD9" w:rsidRPr="00B4182E">
        <w:rPr>
          <w:sz w:val="22"/>
          <w:szCs w:val="22"/>
        </w:rPr>
        <w:t xml:space="preserve">   </w:t>
      </w:r>
      <w:r w:rsidR="00F31F76" w:rsidRPr="00B4182E">
        <w:rPr>
          <w:sz w:val="22"/>
          <w:szCs w:val="22"/>
        </w:rPr>
        <w:t xml:space="preserve">                            </w:t>
      </w:r>
      <w:r w:rsidR="00361BCC" w:rsidRPr="00B4182E">
        <w:rPr>
          <w:sz w:val="22"/>
          <w:szCs w:val="22"/>
        </w:rPr>
        <w:t>(</w:t>
      </w:r>
      <w:r w:rsidR="0099752F">
        <w:rPr>
          <w:sz w:val="22"/>
          <w:szCs w:val="22"/>
        </w:rPr>
        <w:t>267</w:t>
      </w:r>
      <w:r w:rsidR="0028347B" w:rsidRPr="00B4182E">
        <w:rPr>
          <w:sz w:val="22"/>
          <w:szCs w:val="22"/>
        </w:rPr>
        <w:t xml:space="preserve">) </w:t>
      </w:r>
      <w:r w:rsidR="0011311E" w:rsidRPr="00B4182E">
        <w:rPr>
          <w:sz w:val="22"/>
          <w:szCs w:val="22"/>
        </w:rPr>
        <w:t xml:space="preserve">                   </w:t>
      </w:r>
      <w:r w:rsidRPr="00B4182E">
        <w:rPr>
          <w:sz w:val="22"/>
          <w:szCs w:val="22"/>
        </w:rPr>
        <w:t xml:space="preserve"> </w:t>
      </w:r>
      <w:r w:rsidR="000906E0" w:rsidRPr="00B4182E">
        <w:rPr>
          <w:sz w:val="22"/>
          <w:szCs w:val="22"/>
        </w:rPr>
        <w:t xml:space="preserve"> </w:t>
      </w:r>
      <w:r w:rsidR="00B4182E">
        <w:rPr>
          <w:sz w:val="22"/>
          <w:szCs w:val="22"/>
        </w:rPr>
        <w:t xml:space="preserve">  </w:t>
      </w:r>
      <w:r w:rsidR="000906E0" w:rsidRPr="00B4182E">
        <w:rPr>
          <w:sz w:val="22"/>
          <w:szCs w:val="22"/>
        </w:rPr>
        <w:t xml:space="preserve">  </w:t>
      </w:r>
      <w:r w:rsidRPr="00B4182E">
        <w:rPr>
          <w:sz w:val="22"/>
          <w:szCs w:val="22"/>
        </w:rPr>
        <w:t>(</w:t>
      </w:r>
      <w:r w:rsidR="0099752F">
        <w:rPr>
          <w:sz w:val="22"/>
          <w:szCs w:val="22"/>
        </w:rPr>
        <w:t>650</w:t>
      </w:r>
      <w:r w:rsidRPr="00B4182E">
        <w:rPr>
          <w:sz w:val="22"/>
          <w:szCs w:val="22"/>
        </w:rPr>
        <w:t>)</w:t>
      </w:r>
    </w:p>
    <w:p w:rsidR="003D506F" w:rsidRPr="00B4182E" w:rsidRDefault="003D506F" w:rsidP="003D506F">
      <w:pPr>
        <w:rPr>
          <w:sz w:val="22"/>
          <w:szCs w:val="22"/>
        </w:rPr>
      </w:pPr>
      <w:r w:rsidRPr="00B4182E">
        <w:rPr>
          <w:sz w:val="22"/>
          <w:szCs w:val="22"/>
        </w:rPr>
        <w:t xml:space="preserve">Interest expenses                            </w:t>
      </w:r>
      <w:r w:rsidR="00867D50" w:rsidRPr="00B4182E">
        <w:rPr>
          <w:sz w:val="22"/>
          <w:szCs w:val="22"/>
        </w:rPr>
        <w:t xml:space="preserve">                      </w:t>
      </w:r>
      <w:r w:rsidR="0051129A" w:rsidRPr="00B4182E">
        <w:rPr>
          <w:sz w:val="22"/>
          <w:szCs w:val="22"/>
        </w:rPr>
        <w:t xml:space="preserve">          </w:t>
      </w:r>
      <w:r w:rsidR="0099752F">
        <w:rPr>
          <w:sz w:val="22"/>
          <w:szCs w:val="22"/>
        </w:rPr>
        <w:t>8</w:t>
      </w:r>
      <w:r w:rsidR="0051129A" w:rsidRPr="00B4182E">
        <w:rPr>
          <w:sz w:val="22"/>
          <w:szCs w:val="22"/>
        </w:rPr>
        <w:t>,</w:t>
      </w:r>
      <w:r w:rsidR="0099752F">
        <w:rPr>
          <w:sz w:val="22"/>
          <w:szCs w:val="22"/>
        </w:rPr>
        <w:t>3</w:t>
      </w:r>
      <w:r w:rsidR="00B4182E" w:rsidRPr="00B4182E">
        <w:rPr>
          <w:sz w:val="22"/>
          <w:szCs w:val="22"/>
        </w:rPr>
        <w:t>07</w:t>
      </w:r>
      <w:r w:rsidR="00867D50" w:rsidRPr="00B4182E">
        <w:rPr>
          <w:sz w:val="22"/>
          <w:szCs w:val="22"/>
        </w:rPr>
        <w:t xml:space="preserve">       </w:t>
      </w:r>
      <w:r w:rsidR="00F31F76" w:rsidRPr="00B4182E">
        <w:rPr>
          <w:sz w:val="22"/>
          <w:szCs w:val="22"/>
        </w:rPr>
        <w:t xml:space="preserve">              </w:t>
      </w:r>
      <w:r w:rsidR="003E5785" w:rsidRPr="00B4182E">
        <w:rPr>
          <w:sz w:val="22"/>
          <w:szCs w:val="22"/>
        </w:rPr>
        <w:t xml:space="preserve"> </w:t>
      </w:r>
      <w:r w:rsidR="008F1EC6" w:rsidRPr="00B4182E">
        <w:rPr>
          <w:sz w:val="22"/>
          <w:szCs w:val="22"/>
        </w:rPr>
        <w:t xml:space="preserve"> </w:t>
      </w:r>
      <w:r w:rsidR="0099752F">
        <w:rPr>
          <w:sz w:val="22"/>
          <w:szCs w:val="22"/>
        </w:rPr>
        <w:t>23</w:t>
      </w:r>
      <w:r w:rsidR="00867D50" w:rsidRPr="00B4182E">
        <w:rPr>
          <w:sz w:val="22"/>
          <w:szCs w:val="22"/>
        </w:rPr>
        <w:t>,</w:t>
      </w:r>
      <w:r w:rsidR="0099752F">
        <w:rPr>
          <w:sz w:val="22"/>
          <w:szCs w:val="22"/>
        </w:rPr>
        <w:t>808</w:t>
      </w:r>
    </w:p>
    <w:p w:rsidR="003D506F" w:rsidRPr="00B4182E" w:rsidRDefault="003D506F" w:rsidP="003D506F">
      <w:pPr>
        <w:rPr>
          <w:sz w:val="22"/>
          <w:szCs w:val="22"/>
        </w:rPr>
      </w:pPr>
      <w:r w:rsidRPr="00B4182E">
        <w:rPr>
          <w:sz w:val="22"/>
          <w:szCs w:val="22"/>
        </w:rPr>
        <w:t xml:space="preserve">Depreciation                                                                 </w:t>
      </w:r>
      <w:r w:rsidR="0051129A" w:rsidRPr="00B4182E">
        <w:rPr>
          <w:sz w:val="22"/>
          <w:szCs w:val="22"/>
        </w:rPr>
        <w:t>1</w:t>
      </w:r>
      <w:r w:rsidR="00C40A9E">
        <w:rPr>
          <w:sz w:val="22"/>
          <w:szCs w:val="22"/>
        </w:rPr>
        <w:t>4</w:t>
      </w:r>
      <w:r w:rsidR="0051129A" w:rsidRPr="00B4182E">
        <w:rPr>
          <w:sz w:val="22"/>
          <w:szCs w:val="22"/>
        </w:rPr>
        <w:t>,</w:t>
      </w:r>
      <w:r w:rsidR="00C40A9E">
        <w:rPr>
          <w:sz w:val="22"/>
          <w:szCs w:val="22"/>
        </w:rPr>
        <w:t>6</w:t>
      </w:r>
      <w:r w:rsidR="0099752F">
        <w:rPr>
          <w:sz w:val="22"/>
          <w:szCs w:val="22"/>
        </w:rPr>
        <w:t>81</w:t>
      </w:r>
      <w:r w:rsidR="00867D50" w:rsidRPr="00B4182E">
        <w:rPr>
          <w:sz w:val="22"/>
          <w:szCs w:val="22"/>
        </w:rPr>
        <w:t xml:space="preserve">            </w:t>
      </w:r>
      <w:r w:rsidR="00F31F76" w:rsidRPr="00B4182E">
        <w:rPr>
          <w:sz w:val="22"/>
          <w:szCs w:val="22"/>
        </w:rPr>
        <w:t xml:space="preserve">        </w:t>
      </w:r>
      <w:r w:rsidR="008F1EC6" w:rsidRPr="00B4182E">
        <w:rPr>
          <w:sz w:val="22"/>
          <w:szCs w:val="22"/>
        </w:rPr>
        <w:t xml:space="preserve">  </w:t>
      </w:r>
      <w:r w:rsidR="0099752F">
        <w:rPr>
          <w:sz w:val="22"/>
          <w:szCs w:val="22"/>
        </w:rPr>
        <w:t xml:space="preserve"> 42</w:t>
      </w:r>
      <w:r w:rsidR="00B4182E" w:rsidRPr="00B4182E">
        <w:rPr>
          <w:sz w:val="22"/>
          <w:szCs w:val="22"/>
        </w:rPr>
        <w:t>,</w:t>
      </w:r>
      <w:r w:rsidR="0099752F">
        <w:rPr>
          <w:sz w:val="22"/>
          <w:szCs w:val="22"/>
        </w:rPr>
        <w:t>847</w:t>
      </w:r>
    </w:p>
    <w:p w:rsidR="003D506F" w:rsidRPr="00B4182E" w:rsidRDefault="003D506F" w:rsidP="003D506F">
      <w:pPr>
        <w:rPr>
          <w:sz w:val="22"/>
          <w:szCs w:val="22"/>
        </w:rPr>
      </w:pPr>
      <w:r w:rsidRPr="00B4182E">
        <w:rPr>
          <w:sz w:val="22"/>
          <w:szCs w:val="22"/>
        </w:rPr>
        <w:t>Foreign exchange</w:t>
      </w:r>
      <w:r w:rsidR="003B0C1F" w:rsidRPr="00B4182E">
        <w:rPr>
          <w:sz w:val="22"/>
          <w:szCs w:val="22"/>
        </w:rPr>
        <w:t xml:space="preserve"> </w:t>
      </w:r>
      <w:r w:rsidRPr="00B4182E">
        <w:rPr>
          <w:sz w:val="22"/>
          <w:szCs w:val="22"/>
        </w:rPr>
        <w:t xml:space="preserve">gain                                                                           </w:t>
      </w:r>
    </w:p>
    <w:p w:rsidR="003D506F" w:rsidRPr="00B4182E" w:rsidRDefault="003D506F" w:rsidP="003D506F">
      <w:pPr>
        <w:rPr>
          <w:sz w:val="22"/>
          <w:szCs w:val="22"/>
        </w:rPr>
      </w:pPr>
      <w:r w:rsidRPr="00B4182E">
        <w:rPr>
          <w:sz w:val="22"/>
          <w:szCs w:val="22"/>
        </w:rPr>
        <w:t xml:space="preserve"> - reali</w:t>
      </w:r>
      <w:r w:rsidR="003B0C1F" w:rsidRPr="00B4182E">
        <w:rPr>
          <w:sz w:val="22"/>
          <w:szCs w:val="22"/>
        </w:rPr>
        <w:t>s</w:t>
      </w:r>
      <w:r w:rsidRPr="00B4182E">
        <w:rPr>
          <w:sz w:val="22"/>
          <w:szCs w:val="22"/>
        </w:rPr>
        <w:t xml:space="preserve">ed                                          </w:t>
      </w:r>
      <w:r w:rsidR="00DD20F4">
        <w:rPr>
          <w:sz w:val="22"/>
          <w:szCs w:val="22"/>
        </w:rPr>
        <w:t xml:space="preserve">                            </w:t>
      </w:r>
      <w:r w:rsidR="00B4182E">
        <w:rPr>
          <w:sz w:val="22"/>
          <w:szCs w:val="22"/>
        </w:rPr>
        <w:t xml:space="preserve">   </w:t>
      </w:r>
      <w:r w:rsidR="0099752F">
        <w:rPr>
          <w:sz w:val="22"/>
          <w:szCs w:val="22"/>
        </w:rPr>
        <w:t>(183)</w:t>
      </w:r>
      <w:r w:rsidR="00B4182E" w:rsidRPr="00B4182E">
        <w:rPr>
          <w:sz w:val="22"/>
          <w:szCs w:val="22"/>
        </w:rPr>
        <w:t xml:space="preserve">    </w:t>
      </w:r>
      <w:r w:rsidR="00D35704" w:rsidRPr="00B4182E">
        <w:rPr>
          <w:sz w:val="22"/>
          <w:szCs w:val="22"/>
        </w:rPr>
        <w:t xml:space="preserve">  </w:t>
      </w:r>
      <w:r w:rsidR="00DD20F4">
        <w:rPr>
          <w:sz w:val="22"/>
          <w:szCs w:val="22"/>
        </w:rPr>
        <w:t xml:space="preserve">            </w:t>
      </w:r>
      <w:r w:rsidR="0011311E" w:rsidRPr="00B4182E">
        <w:rPr>
          <w:sz w:val="22"/>
          <w:szCs w:val="22"/>
        </w:rPr>
        <w:t xml:space="preserve">        (</w:t>
      </w:r>
      <w:r w:rsidR="00DD20F4">
        <w:rPr>
          <w:sz w:val="22"/>
          <w:szCs w:val="22"/>
        </w:rPr>
        <w:t>218</w:t>
      </w:r>
      <w:r w:rsidRPr="00B4182E">
        <w:rPr>
          <w:sz w:val="22"/>
          <w:szCs w:val="22"/>
        </w:rPr>
        <w:t>)</w:t>
      </w:r>
    </w:p>
    <w:p w:rsidR="00E2422B" w:rsidRDefault="003D506F" w:rsidP="005C21E7">
      <w:pPr>
        <w:rPr>
          <w:sz w:val="22"/>
          <w:szCs w:val="22"/>
        </w:rPr>
      </w:pPr>
      <w:r w:rsidRPr="00B4182E">
        <w:rPr>
          <w:sz w:val="22"/>
          <w:szCs w:val="22"/>
        </w:rPr>
        <w:t xml:space="preserve"> - unrealised                                          </w:t>
      </w:r>
      <w:r w:rsidR="00DD20F4">
        <w:rPr>
          <w:sz w:val="22"/>
          <w:szCs w:val="22"/>
        </w:rPr>
        <w:t xml:space="preserve">           </w:t>
      </w:r>
      <w:r w:rsidR="0011311E" w:rsidRPr="00B4182E">
        <w:rPr>
          <w:sz w:val="22"/>
          <w:szCs w:val="22"/>
        </w:rPr>
        <w:t xml:space="preserve">            </w:t>
      </w:r>
      <w:r w:rsidR="00B4182E">
        <w:rPr>
          <w:sz w:val="22"/>
          <w:szCs w:val="22"/>
        </w:rPr>
        <w:t xml:space="preserve">  </w:t>
      </w:r>
      <w:r w:rsidR="0011311E" w:rsidRPr="00B4182E">
        <w:rPr>
          <w:sz w:val="22"/>
          <w:szCs w:val="22"/>
        </w:rPr>
        <w:t xml:space="preserve"> </w:t>
      </w:r>
      <w:r w:rsidR="0099752F">
        <w:rPr>
          <w:sz w:val="22"/>
          <w:szCs w:val="22"/>
        </w:rPr>
        <w:t xml:space="preserve">  </w:t>
      </w:r>
      <w:r w:rsidR="0011311E" w:rsidRPr="00B4182E">
        <w:rPr>
          <w:sz w:val="22"/>
          <w:szCs w:val="22"/>
        </w:rPr>
        <w:t xml:space="preserve">   </w:t>
      </w:r>
      <w:r w:rsidR="0099752F">
        <w:rPr>
          <w:sz w:val="22"/>
          <w:szCs w:val="22"/>
        </w:rPr>
        <w:t>(2)</w:t>
      </w:r>
      <w:r w:rsidR="00B4182E">
        <w:rPr>
          <w:sz w:val="22"/>
          <w:szCs w:val="22"/>
        </w:rPr>
        <w:t xml:space="preserve">   </w:t>
      </w:r>
      <w:r w:rsidR="003E5785" w:rsidRPr="00B4182E">
        <w:rPr>
          <w:sz w:val="22"/>
          <w:szCs w:val="22"/>
        </w:rPr>
        <w:t xml:space="preserve">      </w:t>
      </w:r>
      <w:r w:rsidR="00DD20F4">
        <w:rPr>
          <w:sz w:val="22"/>
          <w:szCs w:val="22"/>
        </w:rPr>
        <w:t xml:space="preserve"> </w:t>
      </w:r>
      <w:r w:rsidR="003E5785" w:rsidRPr="00B4182E">
        <w:rPr>
          <w:sz w:val="22"/>
          <w:szCs w:val="22"/>
        </w:rPr>
        <w:t xml:space="preserve">                </w:t>
      </w:r>
      <w:r w:rsidR="008F1EC6" w:rsidRPr="00B4182E">
        <w:rPr>
          <w:sz w:val="22"/>
          <w:szCs w:val="22"/>
        </w:rPr>
        <w:t xml:space="preserve">  </w:t>
      </w:r>
      <w:r w:rsidR="00D35704" w:rsidRPr="00B4182E">
        <w:rPr>
          <w:sz w:val="22"/>
          <w:szCs w:val="22"/>
        </w:rPr>
        <w:t>(</w:t>
      </w:r>
      <w:r w:rsidR="00B4182E" w:rsidRPr="00B4182E">
        <w:rPr>
          <w:sz w:val="22"/>
          <w:szCs w:val="22"/>
        </w:rPr>
        <w:t>7</w:t>
      </w:r>
      <w:r w:rsidR="0099752F">
        <w:rPr>
          <w:sz w:val="22"/>
          <w:szCs w:val="22"/>
        </w:rPr>
        <w:t>9</w:t>
      </w:r>
      <w:r w:rsidR="00D35704" w:rsidRPr="00B4182E">
        <w:rPr>
          <w:sz w:val="22"/>
          <w:szCs w:val="22"/>
        </w:rPr>
        <w:t>)</w:t>
      </w:r>
    </w:p>
    <w:p w:rsidR="00E2422B" w:rsidRDefault="00E2422B" w:rsidP="005C21E7">
      <w:pPr>
        <w:rPr>
          <w:sz w:val="22"/>
          <w:szCs w:val="22"/>
        </w:rPr>
      </w:pPr>
    </w:p>
    <w:p w:rsidR="005C21E7" w:rsidRPr="005C21E7" w:rsidRDefault="005C21E7" w:rsidP="005C21E7">
      <w:pPr>
        <w:rPr>
          <w:sz w:val="22"/>
          <w:szCs w:val="22"/>
        </w:rPr>
      </w:pPr>
      <w:r w:rsidRPr="005C21E7">
        <w:rPr>
          <w:sz w:val="22"/>
          <w:szCs w:val="22"/>
        </w:rPr>
        <w:t>Other than the above items, there were no provision for and write off of inventories, gain or loss on disposal of unquoted investment or properties, gain or loss on derivatives and exceptional items for the current quarter and financial year to date.</w:t>
      </w:r>
    </w:p>
    <w:sectPr w:rsidR="005C21E7" w:rsidRPr="005C21E7" w:rsidSect="00BC75AA">
      <w:headerReference w:type="even" r:id="rId11"/>
      <w:headerReference w:type="default" r:id="rId12"/>
      <w:pgSz w:w="11909" w:h="16834" w:code="9"/>
      <w:pgMar w:top="864" w:right="1440" w:bottom="864" w:left="172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E80" w:rsidRDefault="00123E80">
      <w:r>
        <w:separator/>
      </w:r>
    </w:p>
  </w:endnote>
  <w:endnote w:type="continuationSeparator" w:id="1">
    <w:p w:rsidR="00123E80" w:rsidRDefault="00123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E80" w:rsidRDefault="00123E80">
      <w:r>
        <w:separator/>
      </w:r>
    </w:p>
  </w:footnote>
  <w:footnote w:type="continuationSeparator" w:id="1">
    <w:p w:rsidR="00123E80" w:rsidRDefault="00123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80B" w:rsidRDefault="00C918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180B" w:rsidRDefault="00C9180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80B" w:rsidRDefault="00C9180B">
    <w:pPr>
      <w:pStyle w:val="Header"/>
      <w:ind w:right="360"/>
      <w:jc w:val="right"/>
    </w:pPr>
    <w:r>
      <w:t xml:space="preserve">Page </w:t>
    </w:r>
    <w:fldSimple w:instr=" PAGE ">
      <w:r w:rsidR="00086761">
        <w:rPr>
          <w:noProof/>
        </w:rPr>
        <w:t>1</w:t>
      </w:r>
    </w:fldSimple>
    <w:r>
      <w:t xml:space="preserve"> of </w:t>
    </w:r>
    <w:fldSimple w:instr=" NUMPAGES ">
      <w:r w:rsidR="00086761">
        <w:rPr>
          <w:noProof/>
        </w:rPr>
        <w:t>9</w:t>
      </w:r>
    </w:fldSimple>
  </w:p>
  <w:p w:rsidR="00C9180B" w:rsidRDefault="00C9180B">
    <w:pPr>
      <w:pStyle w:val="Header"/>
      <w:ind w:right="360"/>
      <w:jc w:val="right"/>
    </w:pPr>
  </w:p>
  <w:p w:rsidR="00C9180B" w:rsidRDefault="00C9180B">
    <w:pPr>
      <w:pStyle w:val="Header"/>
      <w:ind w:right="360"/>
      <w:rPr>
        <w:b/>
        <w:sz w:val="22"/>
        <w:szCs w:val="22"/>
      </w:rPr>
    </w:pPr>
    <w:r>
      <w:rPr>
        <w:b/>
        <w:sz w:val="22"/>
        <w:szCs w:val="22"/>
      </w:rPr>
      <w:t>HUAT LAI RESOURCES BERHAD</w:t>
    </w:r>
  </w:p>
  <w:p w:rsidR="00C9180B" w:rsidRDefault="00C9180B">
    <w:pPr>
      <w:pStyle w:val="Header"/>
      <w:ind w:right="360"/>
      <w:rPr>
        <w:b/>
        <w:sz w:val="22"/>
        <w:szCs w:val="22"/>
      </w:rPr>
    </w:pPr>
    <w:r>
      <w:rPr>
        <w:b/>
        <w:sz w:val="22"/>
        <w:szCs w:val="22"/>
      </w:rPr>
      <w:t>(Company No. 323273-T)</w:t>
    </w:r>
  </w:p>
  <w:p w:rsidR="00C9180B" w:rsidRDefault="00C9180B">
    <w:pPr>
      <w:pStyle w:val="Header"/>
      <w:ind w:right="360"/>
      <w:rPr>
        <w:sz w:val="22"/>
        <w:szCs w:val="22"/>
      </w:rPr>
    </w:pPr>
  </w:p>
  <w:p w:rsidR="00C9180B" w:rsidRDefault="00C9180B">
    <w:pPr>
      <w:pStyle w:val="Header"/>
      <w:ind w:right="360"/>
      <w:rPr>
        <w:sz w:val="22"/>
        <w:szCs w:val="22"/>
      </w:rPr>
    </w:pPr>
  </w:p>
  <w:p w:rsidR="00C9180B" w:rsidRDefault="00C9180B">
    <w:pPr>
      <w:pStyle w:val="Header"/>
      <w:ind w:right="360"/>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D91"/>
    <w:multiLevelType w:val="multilevel"/>
    <w:tmpl w:val="3F96B83C"/>
    <w:lvl w:ilvl="0">
      <w:start w:val="1"/>
      <w:numFmt w:val="decimal"/>
      <w:lvlText w:val="%1."/>
      <w:lvlJc w:val="left"/>
      <w:pPr>
        <w:tabs>
          <w:tab w:val="num" w:pos="720"/>
        </w:tabs>
        <w:ind w:left="720" w:hanging="720"/>
      </w:pPr>
      <w:rPr>
        <w:rFonts w:hint="default"/>
      </w:rPr>
    </w:lvl>
    <w:lvl w:ilvl="1">
      <w:start w:val="19"/>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B12504"/>
    <w:multiLevelType w:val="hybridMultilevel"/>
    <w:tmpl w:val="263E6416"/>
    <w:lvl w:ilvl="0" w:tplc="BD282156">
      <w:start w:val="62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634530"/>
    <w:multiLevelType w:val="hybridMultilevel"/>
    <w:tmpl w:val="E28EF3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101B1F"/>
    <w:multiLevelType w:val="hybridMultilevel"/>
    <w:tmpl w:val="E0DA8B88"/>
    <w:lvl w:ilvl="0" w:tplc="233615F6">
      <w:start w:val="3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0392091"/>
    <w:multiLevelType w:val="hybridMultilevel"/>
    <w:tmpl w:val="17B28F12"/>
    <w:lvl w:ilvl="0" w:tplc="41F0EC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3E0A23"/>
    <w:multiLevelType w:val="hybridMultilevel"/>
    <w:tmpl w:val="2E3E743A"/>
    <w:lvl w:ilvl="0" w:tplc="F65CEC4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751396"/>
    <w:multiLevelType w:val="hybridMultilevel"/>
    <w:tmpl w:val="A7E45E3E"/>
    <w:lvl w:ilvl="0" w:tplc="3454E34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EAB4995"/>
    <w:multiLevelType w:val="hybridMultilevel"/>
    <w:tmpl w:val="18302B6C"/>
    <w:lvl w:ilvl="0" w:tplc="3CC01F1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2F54881"/>
    <w:multiLevelType w:val="hybridMultilevel"/>
    <w:tmpl w:val="8EBA22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3C91DB1"/>
    <w:multiLevelType w:val="hybridMultilevel"/>
    <w:tmpl w:val="0040DD64"/>
    <w:lvl w:ilvl="0" w:tplc="901C1390">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C20B24"/>
    <w:multiLevelType w:val="hybridMultilevel"/>
    <w:tmpl w:val="84702C86"/>
    <w:lvl w:ilvl="0" w:tplc="41F0EC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5C757F"/>
    <w:multiLevelType w:val="singleLevel"/>
    <w:tmpl w:val="0409000F"/>
    <w:lvl w:ilvl="0">
      <w:start w:val="1"/>
      <w:numFmt w:val="decimal"/>
      <w:lvlText w:val="%1."/>
      <w:lvlJc w:val="left"/>
      <w:pPr>
        <w:tabs>
          <w:tab w:val="num" w:pos="360"/>
        </w:tabs>
        <w:ind w:left="360" w:hanging="360"/>
      </w:pPr>
    </w:lvl>
  </w:abstractNum>
  <w:abstractNum w:abstractNumId="12">
    <w:nsid w:val="2D055F0F"/>
    <w:multiLevelType w:val="hybridMultilevel"/>
    <w:tmpl w:val="0908C7E6"/>
    <w:lvl w:ilvl="0" w:tplc="1BE2FAE0">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1A7049F"/>
    <w:multiLevelType w:val="singleLevel"/>
    <w:tmpl w:val="FF6207E2"/>
    <w:lvl w:ilvl="0">
      <w:start w:val="2"/>
      <w:numFmt w:val="lowerLetter"/>
      <w:lvlText w:val="%1."/>
      <w:lvlJc w:val="left"/>
      <w:pPr>
        <w:tabs>
          <w:tab w:val="num" w:pos="360"/>
        </w:tabs>
        <w:ind w:left="360" w:hanging="360"/>
      </w:pPr>
      <w:rPr>
        <w:rFonts w:hint="default"/>
      </w:rPr>
    </w:lvl>
  </w:abstractNum>
  <w:abstractNum w:abstractNumId="14">
    <w:nsid w:val="327C7BF3"/>
    <w:multiLevelType w:val="hybridMultilevel"/>
    <w:tmpl w:val="34A298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FB50A7"/>
    <w:multiLevelType w:val="hybridMultilevel"/>
    <w:tmpl w:val="C040F070"/>
    <w:lvl w:ilvl="0" w:tplc="680273B8">
      <w:start w:val="1"/>
      <w:numFmt w:val="lowerLetter"/>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247C91"/>
    <w:multiLevelType w:val="hybridMultilevel"/>
    <w:tmpl w:val="34483970"/>
    <w:lvl w:ilvl="0" w:tplc="C98A63B6">
      <w:start w:val="1"/>
      <w:numFmt w:val="lowerLetter"/>
      <w:lvlText w:val="(%1) "/>
      <w:lvlJc w:val="left"/>
      <w:pPr>
        <w:tabs>
          <w:tab w:val="num" w:pos="1469"/>
        </w:tabs>
        <w:ind w:left="1469" w:hanging="749"/>
      </w:pPr>
      <w:rPr>
        <w:rFonts w:ascii="Times New Roman" w:hAnsi="Times New Roman" w:hint="default"/>
        <w:b w:val="0"/>
        <w:i w:val="0"/>
        <w:sz w:val="22"/>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156419B"/>
    <w:multiLevelType w:val="hybridMultilevel"/>
    <w:tmpl w:val="A8D6A59C"/>
    <w:lvl w:ilvl="0" w:tplc="D4E27E36">
      <w:start w:val="1"/>
      <w:numFmt w:val="lowerRoman"/>
      <w:lvlText w:val="(%1) "/>
      <w:lvlJc w:val="left"/>
      <w:pPr>
        <w:tabs>
          <w:tab w:val="num" w:pos="144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47866B1"/>
    <w:multiLevelType w:val="hybridMultilevel"/>
    <w:tmpl w:val="C584056E"/>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E86D82"/>
    <w:multiLevelType w:val="hybridMultilevel"/>
    <w:tmpl w:val="7B4EEAFE"/>
    <w:lvl w:ilvl="0" w:tplc="F576776A">
      <w:start w:val="2"/>
      <w:numFmt w:val="lowerLetter"/>
      <w:lvlText w:val="%1)"/>
      <w:lvlJc w:val="left"/>
      <w:pPr>
        <w:tabs>
          <w:tab w:val="num" w:pos="1080"/>
        </w:tabs>
        <w:ind w:left="1080" w:hanging="48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nsid w:val="49C07E97"/>
    <w:multiLevelType w:val="singleLevel"/>
    <w:tmpl w:val="419AFC02"/>
    <w:lvl w:ilvl="0">
      <w:start w:val="1"/>
      <w:numFmt w:val="lowerRoman"/>
      <w:lvlText w:val="(%1)"/>
      <w:lvlJc w:val="left"/>
      <w:pPr>
        <w:tabs>
          <w:tab w:val="num" w:pos="1440"/>
        </w:tabs>
        <w:ind w:left="1440" w:hanging="720"/>
      </w:pPr>
      <w:rPr>
        <w:rFonts w:hint="default"/>
      </w:rPr>
    </w:lvl>
  </w:abstractNum>
  <w:abstractNum w:abstractNumId="21">
    <w:nsid w:val="4A0D0A39"/>
    <w:multiLevelType w:val="hybridMultilevel"/>
    <w:tmpl w:val="9E5E03E8"/>
    <w:lvl w:ilvl="0" w:tplc="D7D6E304">
      <w:start w:val="1"/>
      <w:numFmt w:val="lowerLetter"/>
      <w:lvlText w:val="(%1) "/>
      <w:lvlJc w:val="left"/>
      <w:pPr>
        <w:tabs>
          <w:tab w:val="num" w:pos="1109"/>
        </w:tabs>
        <w:ind w:left="1109" w:hanging="749"/>
      </w:pPr>
      <w:rPr>
        <w:rFonts w:ascii="Times New Roman" w:hAnsi="Times New Roman"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3162B0"/>
    <w:multiLevelType w:val="hybridMultilevel"/>
    <w:tmpl w:val="124A23BC"/>
    <w:lvl w:ilvl="0" w:tplc="F728425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717199"/>
    <w:multiLevelType w:val="hybridMultilevel"/>
    <w:tmpl w:val="802461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300F43"/>
    <w:multiLevelType w:val="singleLevel"/>
    <w:tmpl w:val="3C4204FE"/>
    <w:lvl w:ilvl="0">
      <w:start w:val="1"/>
      <w:numFmt w:val="lowerLetter"/>
      <w:lvlText w:val="%1."/>
      <w:lvlJc w:val="left"/>
      <w:pPr>
        <w:tabs>
          <w:tab w:val="num" w:pos="720"/>
        </w:tabs>
        <w:ind w:left="720" w:hanging="360"/>
      </w:pPr>
      <w:rPr>
        <w:rFonts w:hint="default"/>
      </w:rPr>
    </w:lvl>
  </w:abstractNum>
  <w:abstractNum w:abstractNumId="25">
    <w:nsid w:val="567464C1"/>
    <w:multiLevelType w:val="hybridMultilevel"/>
    <w:tmpl w:val="96EC4CF0"/>
    <w:lvl w:ilvl="0" w:tplc="1F9052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7895940"/>
    <w:multiLevelType w:val="hybridMultilevel"/>
    <w:tmpl w:val="7C4035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90B3A11"/>
    <w:multiLevelType w:val="hybridMultilevel"/>
    <w:tmpl w:val="86DAC67E"/>
    <w:lvl w:ilvl="0" w:tplc="04090017">
      <w:start w:val="1"/>
      <w:numFmt w:val="lowerLetter"/>
      <w:lvlText w:val="%1)"/>
      <w:lvlJc w:val="left"/>
      <w:pPr>
        <w:tabs>
          <w:tab w:val="num" w:pos="990"/>
        </w:tabs>
        <w:ind w:left="990" w:hanging="360"/>
      </w:pPr>
      <w:rPr>
        <w:rFonts w:hint="default"/>
      </w:rPr>
    </w:lvl>
    <w:lvl w:ilvl="1" w:tplc="73702502">
      <w:start w:val="19"/>
      <w:numFmt w:val="decimal"/>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8">
    <w:nsid w:val="63A046FB"/>
    <w:multiLevelType w:val="hybridMultilevel"/>
    <w:tmpl w:val="E03E370E"/>
    <w:lvl w:ilvl="0" w:tplc="8CF64EE4">
      <w:start w:val="30"/>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nsid w:val="6C263908"/>
    <w:multiLevelType w:val="hybridMultilevel"/>
    <w:tmpl w:val="002E1C84"/>
    <w:lvl w:ilvl="0" w:tplc="41F0EC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B0566C"/>
    <w:multiLevelType w:val="singleLevel"/>
    <w:tmpl w:val="0409000F"/>
    <w:lvl w:ilvl="0">
      <w:start w:val="21"/>
      <w:numFmt w:val="decimal"/>
      <w:lvlText w:val="%1."/>
      <w:lvlJc w:val="left"/>
      <w:pPr>
        <w:tabs>
          <w:tab w:val="num" w:pos="360"/>
        </w:tabs>
        <w:ind w:left="360" w:hanging="360"/>
      </w:pPr>
      <w:rPr>
        <w:rFonts w:hint="default"/>
      </w:rPr>
    </w:lvl>
  </w:abstractNum>
  <w:abstractNum w:abstractNumId="31">
    <w:nsid w:val="741C2CB3"/>
    <w:multiLevelType w:val="hybridMultilevel"/>
    <w:tmpl w:val="A9269152"/>
    <w:lvl w:ilvl="0" w:tplc="36F6D5B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19034D"/>
    <w:multiLevelType w:val="hybridMultilevel"/>
    <w:tmpl w:val="DBE8FD56"/>
    <w:lvl w:ilvl="0" w:tplc="41F0EC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DE256F"/>
    <w:multiLevelType w:val="hybridMultilevel"/>
    <w:tmpl w:val="9092D97A"/>
    <w:lvl w:ilvl="0" w:tplc="1326DD76">
      <w:start w:val="26"/>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E04ABC"/>
    <w:multiLevelType w:val="hybridMultilevel"/>
    <w:tmpl w:val="867224D4"/>
    <w:lvl w:ilvl="0" w:tplc="630AE25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91D1203"/>
    <w:multiLevelType w:val="hybridMultilevel"/>
    <w:tmpl w:val="3E9A24A0"/>
    <w:lvl w:ilvl="0" w:tplc="F1C82A76">
      <w:start w:val="12"/>
      <w:numFmt w:val="bullet"/>
      <w:lvlText w:val="-"/>
      <w:lvlJc w:val="left"/>
      <w:pPr>
        <w:tabs>
          <w:tab w:val="num" w:pos="405"/>
        </w:tabs>
        <w:ind w:left="405" w:hanging="360"/>
      </w:pPr>
      <w:rPr>
        <w:rFonts w:ascii="Times New Roman" w:eastAsia="Calibri"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6">
    <w:nsid w:val="7B460507"/>
    <w:multiLevelType w:val="hybridMultilevel"/>
    <w:tmpl w:val="8D823DDC"/>
    <w:lvl w:ilvl="0" w:tplc="AD6EF1E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E8579E"/>
    <w:multiLevelType w:val="hybridMultilevel"/>
    <w:tmpl w:val="126E63A2"/>
    <w:lvl w:ilvl="0" w:tplc="D7AC7D7C">
      <w:start w:val="1"/>
      <w:numFmt w:val="lowerLetter"/>
      <w:lvlText w:val="(%1) "/>
      <w:lvlJc w:val="left"/>
      <w:pPr>
        <w:tabs>
          <w:tab w:val="num" w:pos="1109"/>
        </w:tabs>
        <w:ind w:left="1109" w:hanging="749"/>
      </w:pPr>
      <w:rPr>
        <w:rFonts w:ascii="Times New Roman" w:hAnsi="Times New Roman" w:hint="default"/>
        <w:b w:val="0"/>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24"/>
  </w:num>
  <w:num w:numId="4">
    <w:abstractNumId w:val="30"/>
  </w:num>
  <w:num w:numId="5">
    <w:abstractNumId w:val="11"/>
  </w:num>
  <w:num w:numId="6">
    <w:abstractNumId w:val="15"/>
  </w:num>
  <w:num w:numId="7">
    <w:abstractNumId w:val="37"/>
  </w:num>
  <w:num w:numId="8">
    <w:abstractNumId w:val="16"/>
  </w:num>
  <w:num w:numId="9">
    <w:abstractNumId w:val="21"/>
  </w:num>
  <w:num w:numId="10">
    <w:abstractNumId w:val="10"/>
  </w:num>
  <w:num w:numId="11">
    <w:abstractNumId w:val="4"/>
  </w:num>
  <w:num w:numId="12">
    <w:abstractNumId w:val="36"/>
  </w:num>
  <w:num w:numId="13">
    <w:abstractNumId w:val="17"/>
  </w:num>
  <w:num w:numId="14">
    <w:abstractNumId w:val="32"/>
  </w:num>
  <w:num w:numId="15">
    <w:abstractNumId w:val="29"/>
  </w:num>
  <w:num w:numId="16">
    <w:abstractNumId w:val="26"/>
  </w:num>
  <w:num w:numId="17">
    <w:abstractNumId w:val="8"/>
  </w:num>
  <w:num w:numId="18">
    <w:abstractNumId w:val="27"/>
  </w:num>
  <w:num w:numId="19">
    <w:abstractNumId w:val="0"/>
    <w:lvlOverride w:ilvl="0">
      <w:startOverride w:val="20"/>
    </w:lvlOverride>
  </w:num>
  <w:num w:numId="20">
    <w:abstractNumId w:val="0"/>
    <w:lvlOverride w:ilvl="0"/>
  </w:num>
  <w:num w:numId="21">
    <w:abstractNumId w:val="18"/>
  </w:num>
  <w:num w:numId="22">
    <w:abstractNumId w:val="0"/>
    <w:lvlOverride w:ilvl="0">
      <w:startOverride w:val="20"/>
    </w:lvlOverride>
  </w:num>
  <w:num w:numId="23">
    <w:abstractNumId w:val="0"/>
    <w:lvlOverride w:ilvl="0">
      <w:startOverride w:val="22"/>
    </w:lvlOverride>
  </w:num>
  <w:num w:numId="24">
    <w:abstractNumId w:val="0"/>
    <w:lvlOverride w:ilvl="0">
      <w:startOverride w:val="4"/>
    </w:lvlOverride>
  </w:num>
  <w:num w:numId="25">
    <w:abstractNumId w:val="0"/>
    <w:lvlOverride w:ilvl="0">
      <w:startOverride w:val="13"/>
    </w:lvlOverride>
  </w:num>
  <w:num w:numId="26">
    <w:abstractNumId w:val="2"/>
  </w:num>
  <w:num w:numId="27">
    <w:abstractNumId w:val="23"/>
  </w:num>
  <w:num w:numId="28">
    <w:abstractNumId w:val="5"/>
  </w:num>
  <w:num w:numId="29">
    <w:abstractNumId w:val="3"/>
  </w:num>
  <w:num w:numId="30">
    <w:abstractNumId w:val="20"/>
  </w:num>
  <w:num w:numId="31">
    <w:abstractNumId w:val="34"/>
  </w:num>
  <w:num w:numId="32">
    <w:abstractNumId w:val="14"/>
  </w:num>
  <w:num w:numId="33">
    <w:abstractNumId w:val="25"/>
  </w:num>
  <w:num w:numId="34">
    <w:abstractNumId w:val="7"/>
  </w:num>
  <w:num w:numId="35">
    <w:abstractNumId w:val="6"/>
  </w:num>
  <w:num w:numId="36">
    <w:abstractNumId w:val="31"/>
  </w:num>
  <w:num w:numId="37">
    <w:abstractNumId w:val="1"/>
  </w:num>
  <w:num w:numId="38">
    <w:abstractNumId w:val="19"/>
  </w:num>
  <w:num w:numId="39">
    <w:abstractNumId w:val="9"/>
  </w:num>
  <w:num w:numId="40">
    <w:abstractNumId w:val="35"/>
  </w:num>
  <w:num w:numId="41">
    <w:abstractNumId w:val="33"/>
  </w:num>
  <w:num w:numId="42">
    <w:abstractNumId w:val="22"/>
  </w:num>
  <w:num w:numId="43">
    <w:abstractNumId w:val="12"/>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FD1ECB"/>
    <w:rsid w:val="0000006D"/>
    <w:rsid w:val="000023CE"/>
    <w:rsid w:val="00002533"/>
    <w:rsid w:val="00007293"/>
    <w:rsid w:val="00007D8F"/>
    <w:rsid w:val="000119DB"/>
    <w:rsid w:val="00011A12"/>
    <w:rsid w:val="00011B73"/>
    <w:rsid w:val="0001670F"/>
    <w:rsid w:val="0001685E"/>
    <w:rsid w:val="00022F1E"/>
    <w:rsid w:val="00022F3E"/>
    <w:rsid w:val="00024167"/>
    <w:rsid w:val="00024C61"/>
    <w:rsid w:val="000266C8"/>
    <w:rsid w:val="00026FDF"/>
    <w:rsid w:val="000306AC"/>
    <w:rsid w:val="00030C89"/>
    <w:rsid w:val="00031603"/>
    <w:rsid w:val="00033828"/>
    <w:rsid w:val="0003655A"/>
    <w:rsid w:val="00042695"/>
    <w:rsid w:val="00050F0A"/>
    <w:rsid w:val="00052AD3"/>
    <w:rsid w:val="00053274"/>
    <w:rsid w:val="00055C1F"/>
    <w:rsid w:val="0005765C"/>
    <w:rsid w:val="00057A06"/>
    <w:rsid w:val="00062704"/>
    <w:rsid w:val="00063DD6"/>
    <w:rsid w:val="00064691"/>
    <w:rsid w:val="000659AF"/>
    <w:rsid w:val="00070E95"/>
    <w:rsid w:val="00071397"/>
    <w:rsid w:val="00071A4B"/>
    <w:rsid w:val="00075CD5"/>
    <w:rsid w:val="0008185C"/>
    <w:rsid w:val="00082BC2"/>
    <w:rsid w:val="000830DC"/>
    <w:rsid w:val="00086651"/>
    <w:rsid w:val="00086761"/>
    <w:rsid w:val="00086ED6"/>
    <w:rsid w:val="000906E0"/>
    <w:rsid w:val="00091301"/>
    <w:rsid w:val="000919AE"/>
    <w:rsid w:val="00093E0F"/>
    <w:rsid w:val="0009554B"/>
    <w:rsid w:val="00095BF3"/>
    <w:rsid w:val="00097873"/>
    <w:rsid w:val="00097E8E"/>
    <w:rsid w:val="00097F00"/>
    <w:rsid w:val="000A0F56"/>
    <w:rsid w:val="000A206C"/>
    <w:rsid w:val="000A3B23"/>
    <w:rsid w:val="000B2261"/>
    <w:rsid w:val="000B765D"/>
    <w:rsid w:val="000C0FCD"/>
    <w:rsid w:val="000C2693"/>
    <w:rsid w:val="000C4452"/>
    <w:rsid w:val="000C7455"/>
    <w:rsid w:val="000D1A9A"/>
    <w:rsid w:val="000D35B2"/>
    <w:rsid w:val="000D4A56"/>
    <w:rsid w:val="000D6BF0"/>
    <w:rsid w:val="000D7550"/>
    <w:rsid w:val="000E07EA"/>
    <w:rsid w:val="000E085F"/>
    <w:rsid w:val="000E1B90"/>
    <w:rsid w:val="000E2EB4"/>
    <w:rsid w:val="000E5485"/>
    <w:rsid w:val="000F0A4B"/>
    <w:rsid w:val="000F330D"/>
    <w:rsid w:val="000F3E10"/>
    <w:rsid w:val="000F3FF9"/>
    <w:rsid w:val="000F73CF"/>
    <w:rsid w:val="000F750E"/>
    <w:rsid w:val="001000A2"/>
    <w:rsid w:val="00100484"/>
    <w:rsid w:val="0010115E"/>
    <w:rsid w:val="0010373C"/>
    <w:rsid w:val="001039E0"/>
    <w:rsid w:val="00104153"/>
    <w:rsid w:val="00105F9A"/>
    <w:rsid w:val="001120DE"/>
    <w:rsid w:val="0011311E"/>
    <w:rsid w:val="00114829"/>
    <w:rsid w:val="001150EE"/>
    <w:rsid w:val="00116B73"/>
    <w:rsid w:val="00116EBB"/>
    <w:rsid w:val="0012084A"/>
    <w:rsid w:val="00120FEC"/>
    <w:rsid w:val="00122B64"/>
    <w:rsid w:val="00123E80"/>
    <w:rsid w:val="001246AF"/>
    <w:rsid w:val="00125AFC"/>
    <w:rsid w:val="00132B01"/>
    <w:rsid w:val="001332C0"/>
    <w:rsid w:val="001334FB"/>
    <w:rsid w:val="00133810"/>
    <w:rsid w:val="0013463A"/>
    <w:rsid w:val="00136235"/>
    <w:rsid w:val="00136777"/>
    <w:rsid w:val="00141B19"/>
    <w:rsid w:val="00143122"/>
    <w:rsid w:val="00143975"/>
    <w:rsid w:val="00143B50"/>
    <w:rsid w:val="00145EC9"/>
    <w:rsid w:val="00146C90"/>
    <w:rsid w:val="0015285E"/>
    <w:rsid w:val="00154FC1"/>
    <w:rsid w:val="0015534E"/>
    <w:rsid w:val="001566FF"/>
    <w:rsid w:val="00157005"/>
    <w:rsid w:val="0015757E"/>
    <w:rsid w:val="001601CF"/>
    <w:rsid w:val="00161C53"/>
    <w:rsid w:val="00161D25"/>
    <w:rsid w:val="00163202"/>
    <w:rsid w:val="00165EB4"/>
    <w:rsid w:val="00165F65"/>
    <w:rsid w:val="00172C37"/>
    <w:rsid w:val="001742FC"/>
    <w:rsid w:val="00177E4E"/>
    <w:rsid w:val="00182FD4"/>
    <w:rsid w:val="0018317C"/>
    <w:rsid w:val="00183F39"/>
    <w:rsid w:val="00184F62"/>
    <w:rsid w:val="001855B5"/>
    <w:rsid w:val="00190E10"/>
    <w:rsid w:val="00191F73"/>
    <w:rsid w:val="00192B9F"/>
    <w:rsid w:val="001933A5"/>
    <w:rsid w:val="00197D64"/>
    <w:rsid w:val="001A1AE9"/>
    <w:rsid w:val="001A3EF1"/>
    <w:rsid w:val="001A5DFE"/>
    <w:rsid w:val="001A7793"/>
    <w:rsid w:val="001B0253"/>
    <w:rsid w:val="001B02C3"/>
    <w:rsid w:val="001B1D3B"/>
    <w:rsid w:val="001B2E06"/>
    <w:rsid w:val="001B317D"/>
    <w:rsid w:val="001B40FE"/>
    <w:rsid w:val="001B6704"/>
    <w:rsid w:val="001C1FD5"/>
    <w:rsid w:val="001C2E66"/>
    <w:rsid w:val="001C2EB4"/>
    <w:rsid w:val="001C3AAC"/>
    <w:rsid w:val="001D1DFC"/>
    <w:rsid w:val="001D27ED"/>
    <w:rsid w:val="001D5D0A"/>
    <w:rsid w:val="001E0EFD"/>
    <w:rsid w:val="001E4F6E"/>
    <w:rsid w:val="001E5A41"/>
    <w:rsid w:val="001E652A"/>
    <w:rsid w:val="001F235F"/>
    <w:rsid w:val="001F2B37"/>
    <w:rsid w:val="001F2C01"/>
    <w:rsid w:val="001F2D54"/>
    <w:rsid w:val="001F34CA"/>
    <w:rsid w:val="001F3E91"/>
    <w:rsid w:val="001F527E"/>
    <w:rsid w:val="001F573E"/>
    <w:rsid w:val="001F64C2"/>
    <w:rsid w:val="001F6F04"/>
    <w:rsid w:val="002008E4"/>
    <w:rsid w:val="00206B9F"/>
    <w:rsid w:val="00207DEF"/>
    <w:rsid w:val="0021181E"/>
    <w:rsid w:val="002128E2"/>
    <w:rsid w:val="00214C17"/>
    <w:rsid w:val="00216C06"/>
    <w:rsid w:val="00222B70"/>
    <w:rsid w:val="00224C86"/>
    <w:rsid w:val="002255AC"/>
    <w:rsid w:val="00226EED"/>
    <w:rsid w:val="00231E8B"/>
    <w:rsid w:val="00241BF4"/>
    <w:rsid w:val="002467B4"/>
    <w:rsid w:val="0024792F"/>
    <w:rsid w:val="00247F3F"/>
    <w:rsid w:val="00251FBB"/>
    <w:rsid w:val="00253F64"/>
    <w:rsid w:val="002575EF"/>
    <w:rsid w:val="00257C02"/>
    <w:rsid w:val="002603EE"/>
    <w:rsid w:val="002606B6"/>
    <w:rsid w:val="00260D94"/>
    <w:rsid w:val="00265B65"/>
    <w:rsid w:val="002668F1"/>
    <w:rsid w:val="002702DE"/>
    <w:rsid w:val="00271191"/>
    <w:rsid w:val="002714CC"/>
    <w:rsid w:val="0027316C"/>
    <w:rsid w:val="0027478A"/>
    <w:rsid w:val="00275824"/>
    <w:rsid w:val="002766C0"/>
    <w:rsid w:val="0028092B"/>
    <w:rsid w:val="0028347B"/>
    <w:rsid w:val="00290FCF"/>
    <w:rsid w:val="0029112F"/>
    <w:rsid w:val="00291290"/>
    <w:rsid w:val="002930E9"/>
    <w:rsid w:val="002935AE"/>
    <w:rsid w:val="00293E8A"/>
    <w:rsid w:val="00294794"/>
    <w:rsid w:val="002953A6"/>
    <w:rsid w:val="00295D49"/>
    <w:rsid w:val="002A0B13"/>
    <w:rsid w:val="002A0EA4"/>
    <w:rsid w:val="002A1D54"/>
    <w:rsid w:val="002A2C4F"/>
    <w:rsid w:val="002A311C"/>
    <w:rsid w:val="002A3B76"/>
    <w:rsid w:val="002A5804"/>
    <w:rsid w:val="002A5A52"/>
    <w:rsid w:val="002B18D6"/>
    <w:rsid w:val="002B5111"/>
    <w:rsid w:val="002B7A3D"/>
    <w:rsid w:val="002C1660"/>
    <w:rsid w:val="002C5372"/>
    <w:rsid w:val="002C5DE0"/>
    <w:rsid w:val="002C607A"/>
    <w:rsid w:val="002D0B78"/>
    <w:rsid w:val="002D376A"/>
    <w:rsid w:val="002D5213"/>
    <w:rsid w:val="002D68B6"/>
    <w:rsid w:val="002E2CFA"/>
    <w:rsid w:val="002E44CE"/>
    <w:rsid w:val="002E44DB"/>
    <w:rsid w:val="002F1965"/>
    <w:rsid w:val="003003F5"/>
    <w:rsid w:val="00302A82"/>
    <w:rsid w:val="003059F0"/>
    <w:rsid w:val="00307C1A"/>
    <w:rsid w:val="00307F6B"/>
    <w:rsid w:val="003103AC"/>
    <w:rsid w:val="003114C1"/>
    <w:rsid w:val="00311672"/>
    <w:rsid w:val="0031442B"/>
    <w:rsid w:val="0031509F"/>
    <w:rsid w:val="003177C3"/>
    <w:rsid w:val="00317A45"/>
    <w:rsid w:val="00323C5C"/>
    <w:rsid w:val="003258D9"/>
    <w:rsid w:val="00326E13"/>
    <w:rsid w:val="003327DC"/>
    <w:rsid w:val="003346C4"/>
    <w:rsid w:val="00334FA0"/>
    <w:rsid w:val="00337D54"/>
    <w:rsid w:val="0034293D"/>
    <w:rsid w:val="00343821"/>
    <w:rsid w:val="00343ABB"/>
    <w:rsid w:val="00343EB4"/>
    <w:rsid w:val="00344674"/>
    <w:rsid w:val="003458FF"/>
    <w:rsid w:val="003537D4"/>
    <w:rsid w:val="00354E7F"/>
    <w:rsid w:val="00361B71"/>
    <w:rsid w:val="00361BCC"/>
    <w:rsid w:val="00364414"/>
    <w:rsid w:val="003646DB"/>
    <w:rsid w:val="00366DB6"/>
    <w:rsid w:val="003702C0"/>
    <w:rsid w:val="0037068C"/>
    <w:rsid w:val="003738BF"/>
    <w:rsid w:val="00374EE8"/>
    <w:rsid w:val="0037552A"/>
    <w:rsid w:val="003767AB"/>
    <w:rsid w:val="00377CC6"/>
    <w:rsid w:val="003805CE"/>
    <w:rsid w:val="003829BC"/>
    <w:rsid w:val="003840F2"/>
    <w:rsid w:val="00384BAA"/>
    <w:rsid w:val="00385F43"/>
    <w:rsid w:val="00386461"/>
    <w:rsid w:val="00386877"/>
    <w:rsid w:val="00386CA5"/>
    <w:rsid w:val="003902E3"/>
    <w:rsid w:val="00390ED7"/>
    <w:rsid w:val="003930F5"/>
    <w:rsid w:val="003934FA"/>
    <w:rsid w:val="00394881"/>
    <w:rsid w:val="00395BE9"/>
    <w:rsid w:val="003979D7"/>
    <w:rsid w:val="00397D45"/>
    <w:rsid w:val="003A2908"/>
    <w:rsid w:val="003A2A2A"/>
    <w:rsid w:val="003A3442"/>
    <w:rsid w:val="003A4F5F"/>
    <w:rsid w:val="003A6406"/>
    <w:rsid w:val="003B0C1F"/>
    <w:rsid w:val="003B221D"/>
    <w:rsid w:val="003B4A24"/>
    <w:rsid w:val="003B779D"/>
    <w:rsid w:val="003C0562"/>
    <w:rsid w:val="003C0DAF"/>
    <w:rsid w:val="003C3642"/>
    <w:rsid w:val="003C3DBC"/>
    <w:rsid w:val="003C4599"/>
    <w:rsid w:val="003C66DC"/>
    <w:rsid w:val="003D1277"/>
    <w:rsid w:val="003D1581"/>
    <w:rsid w:val="003D3383"/>
    <w:rsid w:val="003D44DB"/>
    <w:rsid w:val="003D506F"/>
    <w:rsid w:val="003D51D1"/>
    <w:rsid w:val="003D6133"/>
    <w:rsid w:val="003E0DDA"/>
    <w:rsid w:val="003E3DC5"/>
    <w:rsid w:val="003E3DEF"/>
    <w:rsid w:val="003E4E28"/>
    <w:rsid w:val="003E5785"/>
    <w:rsid w:val="003E5C3C"/>
    <w:rsid w:val="003E62A1"/>
    <w:rsid w:val="003E6FBC"/>
    <w:rsid w:val="003E7006"/>
    <w:rsid w:val="003E7B3C"/>
    <w:rsid w:val="003F4772"/>
    <w:rsid w:val="003F4A86"/>
    <w:rsid w:val="003F6748"/>
    <w:rsid w:val="004018EC"/>
    <w:rsid w:val="00404553"/>
    <w:rsid w:val="0040577E"/>
    <w:rsid w:val="004069E7"/>
    <w:rsid w:val="004104C9"/>
    <w:rsid w:val="004106F7"/>
    <w:rsid w:val="004114EA"/>
    <w:rsid w:val="00412895"/>
    <w:rsid w:val="0041579F"/>
    <w:rsid w:val="00415DF0"/>
    <w:rsid w:val="00416B95"/>
    <w:rsid w:val="00421133"/>
    <w:rsid w:val="0042284A"/>
    <w:rsid w:val="00422993"/>
    <w:rsid w:val="004248E2"/>
    <w:rsid w:val="00424FB2"/>
    <w:rsid w:val="004250C5"/>
    <w:rsid w:val="00426013"/>
    <w:rsid w:val="00430451"/>
    <w:rsid w:val="004335A8"/>
    <w:rsid w:val="00433AAB"/>
    <w:rsid w:val="0043714C"/>
    <w:rsid w:val="00440A2C"/>
    <w:rsid w:val="00441668"/>
    <w:rsid w:val="00441D1C"/>
    <w:rsid w:val="00443F01"/>
    <w:rsid w:val="0044629C"/>
    <w:rsid w:val="0045463B"/>
    <w:rsid w:val="00455C91"/>
    <w:rsid w:val="00464AE6"/>
    <w:rsid w:val="00466B59"/>
    <w:rsid w:val="004670E7"/>
    <w:rsid w:val="00470096"/>
    <w:rsid w:val="00470629"/>
    <w:rsid w:val="00471295"/>
    <w:rsid w:val="00473DD3"/>
    <w:rsid w:val="00475F26"/>
    <w:rsid w:val="00476BAD"/>
    <w:rsid w:val="0048144E"/>
    <w:rsid w:val="0048187D"/>
    <w:rsid w:val="00482060"/>
    <w:rsid w:val="00483067"/>
    <w:rsid w:val="004872C2"/>
    <w:rsid w:val="00492921"/>
    <w:rsid w:val="0049315C"/>
    <w:rsid w:val="004A039F"/>
    <w:rsid w:val="004A1416"/>
    <w:rsid w:val="004A49A0"/>
    <w:rsid w:val="004A565E"/>
    <w:rsid w:val="004A72FE"/>
    <w:rsid w:val="004B40B4"/>
    <w:rsid w:val="004B5264"/>
    <w:rsid w:val="004B5DC8"/>
    <w:rsid w:val="004C5F0A"/>
    <w:rsid w:val="004C71B3"/>
    <w:rsid w:val="004D35F2"/>
    <w:rsid w:val="004D4CF5"/>
    <w:rsid w:val="004D7500"/>
    <w:rsid w:val="004D7B0A"/>
    <w:rsid w:val="004D7BD2"/>
    <w:rsid w:val="004E0FD3"/>
    <w:rsid w:val="004E1B35"/>
    <w:rsid w:val="004E4D02"/>
    <w:rsid w:val="004E6157"/>
    <w:rsid w:val="004E7A6E"/>
    <w:rsid w:val="004F100D"/>
    <w:rsid w:val="004F1D95"/>
    <w:rsid w:val="004F2B7E"/>
    <w:rsid w:val="004F53EC"/>
    <w:rsid w:val="00501158"/>
    <w:rsid w:val="0050170A"/>
    <w:rsid w:val="00501AFC"/>
    <w:rsid w:val="00503098"/>
    <w:rsid w:val="00504939"/>
    <w:rsid w:val="00504F17"/>
    <w:rsid w:val="005050C4"/>
    <w:rsid w:val="00506B25"/>
    <w:rsid w:val="00507865"/>
    <w:rsid w:val="0051129A"/>
    <w:rsid w:val="00511A74"/>
    <w:rsid w:val="0051267B"/>
    <w:rsid w:val="00512A2E"/>
    <w:rsid w:val="005140BE"/>
    <w:rsid w:val="005168DC"/>
    <w:rsid w:val="00516F7C"/>
    <w:rsid w:val="00516F9E"/>
    <w:rsid w:val="0052207A"/>
    <w:rsid w:val="00524AEB"/>
    <w:rsid w:val="00524C18"/>
    <w:rsid w:val="0052644C"/>
    <w:rsid w:val="00530AE7"/>
    <w:rsid w:val="005321D9"/>
    <w:rsid w:val="00532247"/>
    <w:rsid w:val="00532924"/>
    <w:rsid w:val="00533668"/>
    <w:rsid w:val="005358FB"/>
    <w:rsid w:val="00544028"/>
    <w:rsid w:val="005448B8"/>
    <w:rsid w:val="0054735C"/>
    <w:rsid w:val="00550101"/>
    <w:rsid w:val="0055546C"/>
    <w:rsid w:val="00555896"/>
    <w:rsid w:val="00560BEB"/>
    <w:rsid w:val="0056217E"/>
    <w:rsid w:val="00567629"/>
    <w:rsid w:val="0057570E"/>
    <w:rsid w:val="00576FF1"/>
    <w:rsid w:val="00577075"/>
    <w:rsid w:val="0058345C"/>
    <w:rsid w:val="00584830"/>
    <w:rsid w:val="00587685"/>
    <w:rsid w:val="00587977"/>
    <w:rsid w:val="00587AC6"/>
    <w:rsid w:val="00592C81"/>
    <w:rsid w:val="00593BA9"/>
    <w:rsid w:val="00594B77"/>
    <w:rsid w:val="00595521"/>
    <w:rsid w:val="0059659C"/>
    <w:rsid w:val="005A0AE2"/>
    <w:rsid w:val="005A0B52"/>
    <w:rsid w:val="005A2B5B"/>
    <w:rsid w:val="005A4070"/>
    <w:rsid w:val="005A5854"/>
    <w:rsid w:val="005B12CE"/>
    <w:rsid w:val="005B2BA2"/>
    <w:rsid w:val="005B53F2"/>
    <w:rsid w:val="005B6145"/>
    <w:rsid w:val="005B6943"/>
    <w:rsid w:val="005B7A0D"/>
    <w:rsid w:val="005B7A7D"/>
    <w:rsid w:val="005B7DB1"/>
    <w:rsid w:val="005C177A"/>
    <w:rsid w:val="005C21E7"/>
    <w:rsid w:val="005C5419"/>
    <w:rsid w:val="005C691C"/>
    <w:rsid w:val="005C6999"/>
    <w:rsid w:val="005C6DA5"/>
    <w:rsid w:val="005D195F"/>
    <w:rsid w:val="005D689F"/>
    <w:rsid w:val="005D6917"/>
    <w:rsid w:val="005E29F3"/>
    <w:rsid w:val="005E2BBB"/>
    <w:rsid w:val="005E5189"/>
    <w:rsid w:val="005F05A6"/>
    <w:rsid w:val="005F22A0"/>
    <w:rsid w:val="005F46E5"/>
    <w:rsid w:val="005F5159"/>
    <w:rsid w:val="0060146F"/>
    <w:rsid w:val="00603210"/>
    <w:rsid w:val="006033B2"/>
    <w:rsid w:val="00603429"/>
    <w:rsid w:val="00605A80"/>
    <w:rsid w:val="00605DE4"/>
    <w:rsid w:val="006113B4"/>
    <w:rsid w:val="00612662"/>
    <w:rsid w:val="006156BD"/>
    <w:rsid w:val="006179FB"/>
    <w:rsid w:val="00617C62"/>
    <w:rsid w:val="0062073B"/>
    <w:rsid w:val="0062106D"/>
    <w:rsid w:val="00622EE2"/>
    <w:rsid w:val="006242E9"/>
    <w:rsid w:val="00625D3C"/>
    <w:rsid w:val="00625F7C"/>
    <w:rsid w:val="00633CBB"/>
    <w:rsid w:val="0063775D"/>
    <w:rsid w:val="00640886"/>
    <w:rsid w:val="00640F1F"/>
    <w:rsid w:val="00651016"/>
    <w:rsid w:val="0065172C"/>
    <w:rsid w:val="00651BE2"/>
    <w:rsid w:val="00655C74"/>
    <w:rsid w:val="00655EF8"/>
    <w:rsid w:val="00656AD7"/>
    <w:rsid w:val="00657BA6"/>
    <w:rsid w:val="00660C00"/>
    <w:rsid w:val="00661F5C"/>
    <w:rsid w:val="00662226"/>
    <w:rsid w:val="006628DE"/>
    <w:rsid w:val="00662ED7"/>
    <w:rsid w:val="00664F5C"/>
    <w:rsid w:val="00667B03"/>
    <w:rsid w:val="00672A49"/>
    <w:rsid w:val="00673D65"/>
    <w:rsid w:val="00675613"/>
    <w:rsid w:val="00676D5F"/>
    <w:rsid w:val="0067769B"/>
    <w:rsid w:val="006816A0"/>
    <w:rsid w:val="00681FD9"/>
    <w:rsid w:val="00683C74"/>
    <w:rsid w:val="00684240"/>
    <w:rsid w:val="0068593B"/>
    <w:rsid w:val="00685995"/>
    <w:rsid w:val="0069191C"/>
    <w:rsid w:val="0069244E"/>
    <w:rsid w:val="00692483"/>
    <w:rsid w:val="006930A1"/>
    <w:rsid w:val="00693DDB"/>
    <w:rsid w:val="006953C7"/>
    <w:rsid w:val="006A76E3"/>
    <w:rsid w:val="006B0939"/>
    <w:rsid w:val="006B2836"/>
    <w:rsid w:val="006B3609"/>
    <w:rsid w:val="006B3666"/>
    <w:rsid w:val="006B4338"/>
    <w:rsid w:val="006B4A72"/>
    <w:rsid w:val="006B5A60"/>
    <w:rsid w:val="006B7DBF"/>
    <w:rsid w:val="006C2D0B"/>
    <w:rsid w:val="006C2F83"/>
    <w:rsid w:val="006C4D77"/>
    <w:rsid w:val="006C504C"/>
    <w:rsid w:val="006C553A"/>
    <w:rsid w:val="006D0E44"/>
    <w:rsid w:val="006D4786"/>
    <w:rsid w:val="006D47EB"/>
    <w:rsid w:val="006D595F"/>
    <w:rsid w:val="006E05E3"/>
    <w:rsid w:val="006E12F8"/>
    <w:rsid w:val="006E47D2"/>
    <w:rsid w:val="006E511E"/>
    <w:rsid w:val="006E5B01"/>
    <w:rsid w:val="006E7D9D"/>
    <w:rsid w:val="006F41F2"/>
    <w:rsid w:val="006F50D0"/>
    <w:rsid w:val="007014D6"/>
    <w:rsid w:val="00702295"/>
    <w:rsid w:val="00702D8A"/>
    <w:rsid w:val="007034F0"/>
    <w:rsid w:val="007046C7"/>
    <w:rsid w:val="0070655A"/>
    <w:rsid w:val="00707D2C"/>
    <w:rsid w:val="007102F2"/>
    <w:rsid w:val="00712781"/>
    <w:rsid w:val="00712842"/>
    <w:rsid w:val="0071428A"/>
    <w:rsid w:val="007144CC"/>
    <w:rsid w:val="0071742F"/>
    <w:rsid w:val="0072097C"/>
    <w:rsid w:val="00721863"/>
    <w:rsid w:val="0072232F"/>
    <w:rsid w:val="00724462"/>
    <w:rsid w:val="007251A0"/>
    <w:rsid w:val="00725212"/>
    <w:rsid w:val="00725413"/>
    <w:rsid w:val="00725D77"/>
    <w:rsid w:val="00730E5C"/>
    <w:rsid w:val="00734148"/>
    <w:rsid w:val="00735875"/>
    <w:rsid w:val="00735FFE"/>
    <w:rsid w:val="00736C22"/>
    <w:rsid w:val="007411D3"/>
    <w:rsid w:val="00745201"/>
    <w:rsid w:val="007455CC"/>
    <w:rsid w:val="007471AD"/>
    <w:rsid w:val="00754053"/>
    <w:rsid w:val="0075447D"/>
    <w:rsid w:val="00757E94"/>
    <w:rsid w:val="0076166E"/>
    <w:rsid w:val="00762131"/>
    <w:rsid w:val="00765AD3"/>
    <w:rsid w:val="00766199"/>
    <w:rsid w:val="00766B79"/>
    <w:rsid w:val="007725D7"/>
    <w:rsid w:val="00772739"/>
    <w:rsid w:val="007738AC"/>
    <w:rsid w:val="00773B61"/>
    <w:rsid w:val="00774D7A"/>
    <w:rsid w:val="007755DF"/>
    <w:rsid w:val="00777129"/>
    <w:rsid w:val="00782954"/>
    <w:rsid w:val="0078404E"/>
    <w:rsid w:val="00785437"/>
    <w:rsid w:val="00786E0C"/>
    <w:rsid w:val="007879D5"/>
    <w:rsid w:val="00787B09"/>
    <w:rsid w:val="00790596"/>
    <w:rsid w:val="00791530"/>
    <w:rsid w:val="0079245C"/>
    <w:rsid w:val="007937B5"/>
    <w:rsid w:val="00794F57"/>
    <w:rsid w:val="00795C6A"/>
    <w:rsid w:val="00796012"/>
    <w:rsid w:val="007A5318"/>
    <w:rsid w:val="007A55C9"/>
    <w:rsid w:val="007A56BC"/>
    <w:rsid w:val="007A5917"/>
    <w:rsid w:val="007B4020"/>
    <w:rsid w:val="007C0DA4"/>
    <w:rsid w:val="007C11EC"/>
    <w:rsid w:val="007C200A"/>
    <w:rsid w:val="007C226B"/>
    <w:rsid w:val="007C448D"/>
    <w:rsid w:val="007C638D"/>
    <w:rsid w:val="007C6CC3"/>
    <w:rsid w:val="007C6E7E"/>
    <w:rsid w:val="007D202C"/>
    <w:rsid w:val="007D5B4A"/>
    <w:rsid w:val="007E005E"/>
    <w:rsid w:val="007E0BD1"/>
    <w:rsid w:val="007E2297"/>
    <w:rsid w:val="007E470D"/>
    <w:rsid w:val="007F39D8"/>
    <w:rsid w:val="007F403A"/>
    <w:rsid w:val="007F4244"/>
    <w:rsid w:val="007F7267"/>
    <w:rsid w:val="00801CF1"/>
    <w:rsid w:val="00802BB8"/>
    <w:rsid w:val="00802E09"/>
    <w:rsid w:val="008069C4"/>
    <w:rsid w:val="00810DF3"/>
    <w:rsid w:val="008125D2"/>
    <w:rsid w:val="00816095"/>
    <w:rsid w:val="008216AA"/>
    <w:rsid w:val="00824D64"/>
    <w:rsid w:val="00826DDC"/>
    <w:rsid w:val="00827242"/>
    <w:rsid w:val="0082769A"/>
    <w:rsid w:val="00832BD9"/>
    <w:rsid w:val="00835FF8"/>
    <w:rsid w:val="00836C01"/>
    <w:rsid w:val="00836C96"/>
    <w:rsid w:val="00837E51"/>
    <w:rsid w:val="00842E6B"/>
    <w:rsid w:val="00843E2F"/>
    <w:rsid w:val="0084470D"/>
    <w:rsid w:val="00845028"/>
    <w:rsid w:val="008471D4"/>
    <w:rsid w:val="008476EF"/>
    <w:rsid w:val="00847A13"/>
    <w:rsid w:val="0085280C"/>
    <w:rsid w:val="00852C08"/>
    <w:rsid w:val="008534D3"/>
    <w:rsid w:val="00854A0C"/>
    <w:rsid w:val="0085572A"/>
    <w:rsid w:val="00855D49"/>
    <w:rsid w:val="00857381"/>
    <w:rsid w:val="00861E1A"/>
    <w:rsid w:val="00862A6C"/>
    <w:rsid w:val="00862E38"/>
    <w:rsid w:val="008638BD"/>
    <w:rsid w:val="0086631E"/>
    <w:rsid w:val="008666D4"/>
    <w:rsid w:val="008668A6"/>
    <w:rsid w:val="00867D50"/>
    <w:rsid w:val="00871278"/>
    <w:rsid w:val="00872220"/>
    <w:rsid w:val="0087232D"/>
    <w:rsid w:val="008725A8"/>
    <w:rsid w:val="00873671"/>
    <w:rsid w:val="008739CC"/>
    <w:rsid w:val="0087491A"/>
    <w:rsid w:val="00875032"/>
    <w:rsid w:val="00876448"/>
    <w:rsid w:val="00876D19"/>
    <w:rsid w:val="00882627"/>
    <w:rsid w:val="00883441"/>
    <w:rsid w:val="00883F9C"/>
    <w:rsid w:val="0088549F"/>
    <w:rsid w:val="0088753B"/>
    <w:rsid w:val="008928C2"/>
    <w:rsid w:val="00893730"/>
    <w:rsid w:val="00894AF7"/>
    <w:rsid w:val="00896570"/>
    <w:rsid w:val="008A07A0"/>
    <w:rsid w:val="008A1596"/>
    <w:rsid w:val="008A19E7"/>
    <w:rsid w:val="008A204B"/>
    <w:rsid w:val="008A492C"/>
    <w:rsid w:val="008B11F8"/>
    <w:rsid w:val="008B1D03"/>
    <w:rsid w:val="008B61EE"/>
    <w:rsid w:val="008B7AD9"/>
    <w:rsid w:val="008C21C8"/>
    <w:rsid w:val="008C367C"/>
    <w:rsid w:val="008C4E80"/>
    <w:rsid w:val="008C4F57"/>
    <w:rsid w:val="008D0577"/>
    <w:rsid w:val="008D10F1"/>
    <w:rsid w:val="008D39E2"/>
    <w:rsid w:val="008D3DF4"/>
    <w:rsid w:val="008D4D4D"/>
    <w:rsid w:val="008D7053"/>
    <w:rsid w:val="008E34A2"/>
    <w:rsid w:val="008E3C83"/>
    <w:rsid w:val="008E4052"/>
    <w:rsid w:val="008E519F"/>
    <w:rsid w:val="008E757B"/>
    <w:rsid w:val="008E7EE0"/>
    <w:rsid w:val="008F0A55"/>
    <w:rsid w:val="008F1EC6"/>
    <w:rsid w:val="008F3711"/>
    <w:rsid w:val="008F3F02"/>
    <w:rsid w:val="008F4B7B"/>
    <w:rsid w:val="00900625"/>
    <w:rsid w:val="00901F17"/>
    <w:rsid w:val="0090311C"/>
    <w:rsid w:val="009046F0"/>
    <w:rsid w:val="009064AB"/>
    <w:rsid w:val="0091014F"/>
    <w:rsid w:val="0091081B"/>
    <w:rsid w:val="009111F1"/>
    <w:rsid w:val="0091143B"/>
    <w:rsid w:val="009114DF"/>
    <w:rsid w:val="00912000"/>
    <w:rsid w:val="009140A0"/>
    <w:rsid w:val="009155BC"/>
    <w:rsid w:val="009158BE"/>
    <w:rsid w:val="00917077"/>
    <w:rsid w:val="0091742F"/>
    <w:rsid w:val="009209F8"/>
    <w:rsid w:val="009248F6"/>
    <w:rsid w:val="00926B24"/>
    <w:rsid w:val="00931B41"/>
    <w:rsid w:val="00932FCD"/>
    <w:rsid w:val="00940CD3"/>
    <w:rsid w:val="0094441D"/>
    <w:rsid w:val="00944740"/>
    <w:rsid w:val="009449D5"/>
    <w:rsid w:val="0095074B"/>
    <w:rsid w:val="00951090"/>
    <w:rsid w:val="00953343"/>
    <w:rsid w:val="009543B3"/>
    <w:rsid w:val="00954C10"/>
    <w:rsid w:val="00955545"/>
    <w:rsid w:val="0095647A"/>
    <w:rsid w:val="00956FF7"/>
    <w:rsid w:val="00960C15"/>
    <w:rsid w:val="009622B9"/>
    <w:rsid w:val="00962A9C"/>
    <w:rsid w:val="0096408C"/>
    <w:rsid w:val="00964F46"/>
    <w:rsid w:val="00967404"/>
    <w:rsid w:val="00967564"/>
    <w:rsid w:val="0097213C"/>
    <w:rsid w:val="00973F33"/>
    <w:rsid w:val="0097683A"/>
    <w:rsid w:val="00976B1D"/>
    <w:rsid w:val="00981382"/>
    <w:rsid w:val="009816D3"/>
    <w:rsid w:val="009841F9"/>
    <w:rsid w:val="0098545E"/>
    <w:rsid w:val="00987291"/>
    <w:rsid w:val="009910BF"/>
    <w:rsid w:val="00991CFA"/>
    <w:rsid w:val="009921BD"/>
    <w:rsid w:val="00993788"/>
    <w:rsid w:val="00996716"/>
    <w:rsid w:val="00996927"/>
    <w:rsid w:val="0099752F"/>
    <w:rsid w:val="009A1A2D"/>
    <w:rsid w:val="009A2040"/>
    <w:rsid w:val="009A41C5"/>
    <w:rsid w:val="009A4A8B"/>
    <w:rsid w:val="009A60EF"/>
    <w:rsid w:val="009B074C"/>
    <w:rsid w:val="009B4B7E"/>
    <w:rsid w:val="009B6DFF"/>
    <w:rsid w:val="009C0F3F"/>
    <w:rsid w:val="009C5A73"/>
    <w:rsid w:val="009C719D"/>
    <w:rsid w:val="009C7584"/>
    <w:rsid w:val="009D6A7C"/>
    <w:rsid w:val="009E262E"/>
    <w:rsid w:val="009E3DD8"/>
    <w:rsid w:val="009E44E0"/>
    <w:rsid w:val="009E65F1"/>
    <w:rsid w:val="009E6CBE"/>
    <w:rsid w:val="009E6F41"/>
    <w:rsid w:val="009E7FB2"/>
    <w:rsid w:val="009F1A93"/>
    <w:rsid w:val="009F1AED"/>
    <w:rsid w:val="009F3424"/>
    <w:rsid w:val="009F5130"/>
    <w:rsid w:val="009F5E06"/>
    <w:rsid w:val="009F788E"/>
    <w:rsid w:val="00A03875"/>
    <w:rsid w:val="00A03BBE"/>
    <w:rsid w:val="00A065C0"/>
    <w:rsid w:val="00A067D9"/>
    <w:rsid w:val="00A10346"/>
    <w:rsid w:val="00A1070A"/>
    <w:rsid w:val="00A12936"/>
    <w:rsid w:val="00A13311"/>
    <w:rsid w:val="00A16F28"/>
    <w:rsid w:val="00A173D0"/>
    <w:rsid w:val="00A203AC"/>
    <w:rsid w:val="00A22555"/>
    <w:rsid w:val="00A22B21"/>
    <w:rsid w:val="00A22E3A"/>
    <w:rsid w:val="00A25E71"/>
    <w:rsid w:val="00A266C0"/>
    <w:rsid w:val="00A33CAB"/>
    <w:rsid w:val="00A34D74"/>
    <w:rsid w:val="00A35196"/>
    <w:rsid w:val="00A3583C"/>
    <w:rsid w:val="00A35BA4"/>
    <w:rsid w:val="00A37328"/>
    <w:rsid w:val="00A40473"/>
    <w:rsid w:val="00A40E59"/>
    <w:rsid w:val="00A425CD"/>
    <w:rsid w:val="00A43A2D"/>
    <w:rsid w:val="00A46128"/>
    <w:rsid w:val="00A507ED"/>
    <w:rsid w:val="00A51729"/>
    <w:rsid w:val="00A51880"/>
    <w:rsid w:val="00A52B84"/>
    <w:rsid w:val="00A52D61"/>
    <w:rsid w:val="00A54068"/>
    <w:rsid w:val="00A557AF"/>
    <w:rsid w:val="00A5650B"/>
    <w:rsid w:val="00A57A68"/>
    <w:rsid w:val="00A603B8"/>
    <w:rsid w:val="00A61921"/>
    <w:rsid w:val="00A62068"/>
    <w:rsid w:val="00A623EC"/>
    <w:rsid w:val="00A628E5"/>
    <w:rsid w:val="00A632B1"/>
    <w:rsid w:val="00A637D4"/>
    <w:rsid w:val="00A64CE2"/>
    <w:rsid w:val="00A65607"/>
    <w:rsid w:val="00A659C5"/>
    <w:rsid w:val="00A67894"/>
    <w:rsid w:val="00A71A0A"/>
    <w:rsid w:val="00A73CD5"/>
    <w:rsid w:val="00A75112"/>
    <w:rsid w:val="00A7549F"/>
    <w:rsid w:val="00A763DF"/>
    <w:rsid w:val="00A85A3C"/>
    <w:rsid w:val="00A93FE8"/>
    <w:rsid w:val="00A94687"/>
    <w:rsid w:val="00A947D4"/>
    <w:rsid w:val="00A94CCE"/>
    <w:rsid w:val="00A95A56"/>
    <w:rsid w:val="00AA5BA0"/>
    <w:rsid w:val="00AB1112"/>
    <w:rsid w:val="00AB21A2"/>
    <w:rsid w:val="00AB2CB6"/>
    <w:rsid w:val="00AB47C2"/>
    <w:rsid w:val="00AB60A5"/>
    <w:rsid w:val="00AB7BF0"/>
    <w:rsid w:val="00AC1F72"/>
    <w:rsid w:val="00AC3ABD"/>
    <w:rsid w:val="00AC4E51"/>
    <w:rsid w:val="00AC5F4F"/>
    <w:rsid w:val="00AC77F8"/>
    <w:rsid w:val="00AD0088"/>
    <w:rsid w:val="00AD04D0"/>
    <w:rsid w:val="00AD1E20"/>
    <w:rsid w:val="00AD791A"/>
    <w:rsid w:val="00AD7C60"/>
    <w:rsid w:val="00AE0850"/>
    <w:rsid w:val="00AE2C74"/>
    <w:rsid w:val="00AE5C8F"/>
    <w:rsid w:val="00AE709D"/>
    <w:rsid w:val="00AF3ABA"/>
    <w:rsid w:val="00AF5161"/>
    <w:rsid w:val="00AF642E"/>
    <w:rsid w:val="00B02B37"/>
    <w:rsid w:val="00B062F8"/>
    <w:rsid w:val="00B101E2"/>
    <w:rsid w:val="00B10DF6"/>
    <w:rsid w:val="00B125B4"/>
    <w:rsid w:val="00B1442C"/>
    <w:rsid w:val="00B1459C"/>
    <w:rsid w:val="00B16176"/>
    <w:rsid w:val="00B165E1"/>
    <w:rsid w:val="00B20B0A"/>
    <w:rsid w:val="00B20E69"/>
    <w:rsid w:val="00B217C0"/>
    <w:rsid w:val="00B21BFA"/>
    <w:rsid w:val="00B22D99"/>
    <w:rsid w:val="00B2323C"/>
    <w:rsid w:val="00B247E9"/>
    <w:rsid w:val="00B24E09"/>
    <w:rsid w:val="00B252CE"/>
    <w:rsid w:val="00B31994"/>
    <w:rsid w:val="00B31F66"/>
    <w:rsid w:val="00B325B7"/>
    <w:rsid w:val="00B32DA2"/>
    <w:rsid w:val="00B33F25"/>
    <w:rsid w:val="00B36391"/>
    <w:rsid w:val="00B3785C"/>
    <w:rsid w:val="00B40F8F"/>
    <w:rsid w:val="00B4182E"/>
    <w:rsid w:val="00B41EC8"/>
    <w:rsid w:val="00B42672"/>
    <w:rsid w:val="00B43364"/>
    <w:rsid w:val="00B510E4"/>
    <w:rsid w:val="00B5118E"/>
    <w:rsid w:val="00B51B56"/>
    <w:rsid w:val="00B5231A"/>
    <w:rsid w:val="00B529AB"/>
    <w:rsid w:val="00B534AA"/>
    <w:rsid w:val="00B540B5"/>
    <w:rsid w:val="00B54197"/>
    <w:rsid w:val="00B54A40"/>
    <w:rsid w:val="00B56FB8"/>
    <w:rsid w:val="00B61E8C"/>
    <w:rsid w:val="00B62443"/>
    <w:rsid w:val="00B6352D"/>
    <w:rsid w:val="00B64DA7"/>
    <w:rsid w:val="00B655B6"/>
    <w:rsid w:val="00B65B4D"/>
    <w:rsid w:val="00B6601A"/>
    <w:rsid w:val="00B6682D"/>
    <w:rsid w:val="00B67FBE"/>
    <w:rsid w:val="00B715BE"/>
    <w:rsid w:val="00B75021"/>
    <w:rsid w:val="00B77B9B"/>
    <w:rsid w:val="00B80F11"/>
    <w:rsid w:val="00B863B4"/>
    <w:rsid w:val="00B918C1"/>
    <w:rsid w:val="00B96B57"/>
    <w:rsid w:val="00B96BB4"/>
    <w:rsid w:val="00BA02F7"/>
    <w:rsid w:val="00BA1A58"/>
    <w:rsid w:val="00BA3128"/>
    <w:rsid w:val="00BA4074"/>
    <w:rsid w:val="00BA5AB1"/>
    <w:rsid w:val="00BA63E6"/>
    <w:rsid w:val="00BB1A9A"/>
    <w:rsid w:val="00BB1BDD"/>
    <w:rsid w:val="00BB1C01"/>
    <w:rsid w:val="00BB201F"/>
    <w:rsid w:val="00BB5D76"/>
    <w:rsid w:val="00BB72D5"/>
    <w:rsid w:val="00BC0235"/>
    <w:rsid w:val="00BC1C7D"/>
    <w:rsid w:val="00BC2F1F"/>
    <w:rsid w:val="00BC330B"/>
    <w:rsid w:val="00BC4996"/>
    <w:rsid w:val="00BC60C3"/>
    <w:rsid w:val="00BC6EB3"/>
    <w:rsid w:val="00BC75AA"/>
    <w:rsid w:val="00BD4354"/>
    <w:rsid w:val="00BD5771"/>
    <w:rsid w:val="00BD7145"/>
    <w:rsid w:val="00BD731F"/>
    <w:rsid w:val="00BD7AAB"/>
    <w:rsid w:val="00BE148B"/>
    <w:rsid w:val="00BE3A2E"/>
    <w:rsid w:val="00BE5B91"/>
    <w:rsid w:val="00BE794F"/>
    <w:rsid w:val="00BF0586"/>
    <w:rsid w:val="00BF3BD5"/>
    <w:rsid w:val="00BF4B89"/>
    <w:rsid w:val="00BF6294"/>
    <w:rsid w:val="00C01672"/>
    <w:rsid w:val="00C033CE"/>
    <w:rsid w:val="00C06CA5"/>
    <w:rsid w:val="00C10675"/>
    <w:rsid w:val="00C10F97"/>
    <w:rsid w:val="00C13CF7"/>
    <w:rsid w:val="00C152F3"/>
    <w:rsid w:val="00C16905"/>
    <w:rsid w:val="00C169EF"/>
    <w:rsid w:val="00C177B0"/>
    <w:rsid w:val="00C17F60"/>
    <w:rsid w:val="00C211AC"/>
    <w:rsid w:val="00C21279"/>
    <w:rsid w:val="00C2262C"/>
    <w:rsid w:val="00C30822"/>
    <w:rsid w:val="00C321F5"/>
    <w:rsid w:val="00C35583"/>
    <w:rsid w:val="00C3573F"/>
    <w:rsid w:val="00C36153"/>
    <w:rsid w:val="00C40A9E"/>
    <w:rsid w:val="00C415B4"/>
    <w:rsid w:val="00C415D1"/>
    <w:rsid w:val="00C44D29"/>
    <w:rsid w:val="00C46C57"/>
    <w:rsid w:val="00C47BE9"/>
    <w:rsid w:val="00C50F2C"/>
    <w:rsid w:val="00C537DB"/>
    <w:rsid w:val="00C54DD2"/>
    <w:rsid w:val="00C55E7E"/>
    <w:rsid w:val="00C56333"/>
    <w:rsid w:val="00C64653"/>
    <w:rsid w:val="00C65AA4"/>
    <w:rsid w:val="00C6631C"/>
    <w:rsid w:val="00C6765F"/>
    <w:rsid w:val="00C70064"/>
    <w:rsid w:val="00C71941"/>
    <w:rsid w:val="00C71B5C"/>
    <w:rsid w:val="00C725D9"/>
    <w:rsid w:val="00C7268B"/>
    <w:rsid w:val="00C751D6"/>
    <w:rsid w:val="00C75493"/>
    <w:rsid w:val="00C75BF9"/>
    <w:rsid w:val="00C7689B"/>
    <w:rsid w:val="00C76E97"/>
    <w:rsid w:val="00C80515"/>
    <w:rsid w:val="00C80B4B"/>
    <w:rsid w:val="00C81A7C"/>
    <w:rsid w:val="00C82300"/>
    <w:rsid w:val="00C842B6"/>
    <w:rsid w:val="00C85D0E"/>
    <w:rsid w:val="00C86494"/>
    <w:rsid w:val="00C86567"/>
    <w:rsid w:val="00C87967"/>
    <w:rsid w:val="00C87E5C"/>
    <w:rsid w:val="00C9180B"/>
    <w:rsid w:val="00C91A23"/>
    <w:rsid w:val="00C920E9"/>
    <w:rsid w:val="00C92B83"/>
    <w:rsid w:val="00C92EAC"/>
    <w:rsid w:val="00C939A2"/>
    <w:rsid w:val="00C95D01"/>
    <w:rsid w:val="00C96B1E"/>
    <w:rsid w:val="00C9714E"/>
    <w:rsid w:val="00CA037B"/>
    <w:rsid w:val="00CA2563"/>
    <w:rsid w:val="00CA3615"/>
    <w:rsid w:val="00CB26EE"/>
    <w:rsid w:val="00CB32FE"/>
    <w:rsid w:val="00CB4156"/>
    <w:rsid w:val="00CB56D1"/>
    <w:rsid w:val="00CB5EAD"/>
    <w:rsid w:val="00CC3B6A"/>
    <w:rsid w:val="00CC4248"/>
    <w:rsid w:val="00CC4AAE"/>
    <w:rsid w:val="00CC4CCE"/>
    <w:rsid w:val="00CD1953"/>
    <w:rsid w:val="00CD1ECE"/>
    <w:rsid w:val="00CD305E"/>
    <w:rsid w:val="00CD3856"/>
    <w:rsid w:val="00CD5BE8"/>
    <w:rsid w:val="00CD6E45"/>
    <w:rsid w:val="00CE3ABC"/>
    <w:rsid w:val="00CE4002"/>
    <w:rsid w:val="00CE5667"/>
    <w:rsid w:val="00CF0C22"/>
    <w:rsid w:val="00CF2ECC"/>
    <w:rsid w:val="00CF39E7"/>
    <w:rsid w:val="00CF3DC4"/>
    <w:rsid w:val="00CF4236"/>
    <w:rsid w:val="00CF7695"/>
    <w:rsid w:val="00D01FB4"/>
    <w:rsid w:val="00D04A43"/>
    <w:rsid w:val="00D111AE"/>
    <w:rsid w:val="00D148FE"/>
    <w:rsid w:val="00D154A6"/>
    <w:rsid w:val="00D20E5C"/>
    <w:rsid w:val="00D24199"/>
    <w:rsid w:val="00D27C9C"/>
    <w:rsid w:val="00D301C1"/>
    <w:rsid w:val="00D32A8E"/>
    <w:rsid w:val="00D33B75"/>
    <w:rsid w:val="00D354CC"/>
    <w:rsid w:val="00D35704"/>
    <w:rsid w:val="00D408F7"/>
    <w:rsid w:val="00D41DD2"/>
    <w:rsid w:val="00D42088"/>
    <w:rsid w:val="00D4289E"/>
    <w:rsid w:val="00D42B3B"/>
    <w:rsid w:val="00D42D85"/>
    <w:rsid w:val="00D43DAA"/>
    <w:rsid w:val="00D44FA2"/>
    <w:rsid w:val="00D46FD1"/>
    <w:rsid w:val="00D47673"/>
    <w:rsid w:val="00D505B7"/>
    <w:rsid w:val="00D50C63"/>
    <w:rsid w:val="00D5214E"/>
    <w:rsid w:val="00D5555F"/>
    <w:rsid w:val="00D55899"/>
    <w:rsid w:val="00D60ED6"/>
    <w:rsid w:val="00D61969"/>
    <w:rsid w:val="00D61EAB"/>
    <w:rsid w:val="00D6600A"/>
    <w:rsid w:val="00D6602A"/>
    <w:rsid w:val="00D667EB"/>
    <w:rsid w:val="00D67945"/>
    <w:rsid w:val="00D70FC3"/>
    <w:rsid w:val="00D7119C"/>
    <w:rsid w:val="00D7130C"/>
    <w:rsid w:val="00D731A3"/>
    <w:rsid w:val="00D74C9D"/>
    <w:rsid w:val="00D76258"/>
    <w:rsid w:val="00D8146B"/>
    <w:rsid w:val="00D81735"/>
    <w:rsid w:val="00D81D15"/>
    <w:rsid w:val="00D83253"/>
    <w:rsid w:val="00D87D47"/>
    <w:rsid w:val="00D87E20"/>
    <w:rsid w:val="00D90C64"/>
    <w:rsid w:val="00D915F3"/>
    <w:rsid w:val="00D91AF3"/>
    <w:rsid w:val="00D91BB0"/>
    <w:rsid w:val="00D93F7F"/>
    <w:rsid w:val="00D978FE"/>
    <w:rsid w:val="00DA06C0"/>
    <w:rsid w:val="00DA1588"/>
    <w:rsid w:val="00DA250B"/>
    <w:rsid w:val="00DA3118"/>
    <w:rsid w:val="00DA4833"/>
    <w:rsid w:val="00DA5D7A"/>
    <w:rsid w:val="00DA72DA"/>
    <w:rsid w:val="00DA77ED"/>
    <w:rsid w:val="00DB0828"/>
    <w:rsid w:val="00DB1719"/>
    <w:rsid w:val="00DB1DB8"/>
    <w:rsid w:val="00DB2A9E"/>
    <w:rsid w:val="00DB2E4E"/>
    <w:rsid w:val="00DB4FA2"/>
    <w:rsid w:val="00DB7B7E"/>
    <w:rsid w:val="00DC0FAD"/>
    <w:rsid w:val="00DC1FD5"/>
    <w:rsid w:val="00DC287A"/>
    <w:rsid w:val="00DC5BEE"/>
    <w:rsid w:val="00DC6412"/>
    <w:rsid w:val="00DD20F4"/>
    <w:rsid w:val="00DD36FD"/>
    <w:rsid w:val="00DD543B"/>
    <w:rsid w:val="00DD6DCB"/>
    <w:rsid w:val="00DD702C"/>
    <w:rsid w:val="00DD7193"/>
    <w:rsid w:val="00DE0BBC"/>
    <w:rsid w:val="00DE10E0"/>
    <w:rsid w:val="00DE194D"/>
    <w:rsid w:val="00DE5A06"/>
    <w:rsid w:val="00DE7B88"/>
    <w:rsid w:val="00DF187F"/>
    <w:rsid w:val="00DF2B14"/>
    <w:rsid w:val="00DF3381"/>
    <w:rsid w:val="00DF52D4"/>
    <w:rsid w:val="00E01C31"/>
    <w:rsid w:val="00E03DA2"/>
    <w:rsid w:val="00E06236"/>
    <w:rsid w:val="00E06D24"/>
    <w:rsid w:val="00E11F04"/>
    <w:rsid w:val="00E12034"/>
    <w:rsid w:val="00E13BD4"/>
    <w:rsid w:val="00E14704"/>
    <w:rsid w:val="00E148E3"/>
    <w:rsid w:val="00E149C7"/>
    <w:rsid w:val="00E20DB4"/>
    <w:rsid w:val="00E22A4F"/>
    <w:rsid w:val="00E23BE2"/>
    <w:rsid w:val="00E2422B"/>
    <w:rsid w:val="00E30D35"/>
    <w:rsid w:val="00E4071C"/>
    <w:rsid w:val="00E40BA7"/>
    <w:rsid w:val="00E4301F"/>
    <w:rsid w:val="00E436BE"/>
    <w:rsid w:val="00E4509E"/>
    <w:rsid w:val="00E45BFA"/>
    <w:rsid w:val="00E46FC6"/>
    <w:rsid w:val="00E51B20"/>
    <w:rsid w:val="00E52349"/>
    <w:rsid w:val="00E5660E"/>
    <w:rsid w:val="00E5714E"/>
    <w:rsid w:val="00E5717B"/>
    <w:rsid w:val="00E57EFB"/>
    <w:rsid w:val="00E633BE"/>
    <w:rsid w:val="00E64164"/>
    <w:rsid w:val="00E667F9"/>
    <w:rsid w:val="00E70C4F"/>
    <w:rsid w:val="00E714BB"/>
    <w:rsid w:val="00E776DC"/>
    <w:rsid w:val="00E777F1"/>
    <w:rsid w:val="00E81FC2"/>
    <w:rsid w:val="00E8294C"/>
    <w:rsid w:val="00E82C6D"/>
    <w:rsid w:val="00E83088"/>
    <w:rsid w:val="00E84364"/>
    <w:rsid w:val="00E85AC8"/>
    <w:rsid w:val="00E85B25"/>
    <w:rsid w:val="00E86339"/>
    <w:rsid w:val="00E872C1"/>
    <w:rsid w:val="00E8759B"/>
    <w:rsid w:val="00E91C80"/>
    <w:rsid w:val="00E92D05"/>
    <w:rsid w:val="00E93E9A"/>
    <w:rsid w:val="00E94A39"/>
    <w:rsid w:val="00E94FE3"/>
    <w:rsid w:val="00E964C4"/>
    <w:rsid w:val="00EA138D"/>
    <w:rsid w:val="00EA1833"/>
    <w:rsid w:val="00EA2450"/>
    <w:rsid w:val="00EA2BDF"/>
    <w:rsid w:val="00EA3B0F"/>
    <w:rsid w:val="00EA5870"/>
    <w:rsid w:val="00EB1BAF"/>
    <w:rsid w:val="00EB2A88"/>
    <w:rsid w:val="00EB2DCE"/>
    <w:rsid w:val="00EB52AB"/>
    <w:rsid w:val="00EB542E"/>
    <w:rsid w:val="00EB6080"/>
    <w:rsid w:val="00EC0E6E"/>
    <w:rsid w:val="00EC2599"/>
    <w:rsid w:val="00EC3318"/>
    <w:rsid w:val="00EC3929"/>
    <w:rsid w:val="00EC56E3"/>
    <w:rsid w:val="00EC5816"/>
    <w:rsid w:val="00EC6A20"/>
    <w:rsid w:val="00EC720B"/>
    <w:rsid w:val="00EC7CBE"/>
    <w:rsid w:val="00ED0BC8"/>
    <w:rsid w:val="00ED0FA6"/>
    <w:rsid w:val="00ED109C"/>
    <w:rsid w:val="00ED175D"/>
    <w:rsid w:val="00ED322B"/>
    <w:rsid w:val="00ED3D6D"/>
    <w:rsid w:val="00ED3E9F"/>
    <w:rsid w:val="00ED4A9F"/>
    <w:rsid w:val="00ED5559"/>
    <w:rsid w:val="00EE1CCA"/>
    <w:rsid w:val="00EE50AA"/>
    <w:rsid w:val="00EE52F1"/>
    <w:rsid w:val="00EE7987"/>
    <w:rsid w:val="00EF08DA"/>
    <w:rsid w:val="00EF132B"/>
    <w:rsid w:val="00EF44A5"/>
    <w:rsid w:val="00EF55F0"/>
    <w:rsid w:val="00EF632C"/>
    <w:rsid w:val="00EF7069"/>
    <w:rsid w:val="00EF7862"/>
    <w:rsid w:val="00F017B8"/>
    <w:rsid w:val="00F01B40"/>
    <w:rsid w:val="00F03636"/>
    <w:rsid w:val="00F059C3"/>
    <w:rsid w:val="00F05EA2"/>
    <w:rsid w:val="00F07303"/>
    <w:rsid w:val="00F11976"/>
    <w:rsid w:val="00F12C96"/>
    <w:rsid w:val="00F16C9C"/>
    <w:rsid w:val="00F17902"/>
    <w:rsid w:val="00F17D54"/>
    <w:rsid w:val="00F21037"/>
    <w:rsid w:val="00F21B2D"/>
    <w:rsid w:val="00F24820"/>
    <w:rsid w:val="00F24CBA"/>
    <w:rsid w:val="00F25353"/>
    <w:rsid w:val="00F25A3B"/>
    <w:rsid w:val="00F25AB2"/>
    <w:rsid w:val="00F26EB2"/>
    <w:rsid w:val="00F30EB1"/>
    <w:rsid w:val="00F31F76"/>
    <w:rsid w:val="00F327EB"/>
    <w:rsid w:val="00F35EAF"/>
    <w:rsid w:val="00F37AC1"/>
    <w:rsid w:val="00F405DE"/>
    <w:rsid w:val="00F446C1"/>
    <w:rsid w:val="00F45636"/>
    <w:rsid w:val="00F46C69"/>
    <w:rsid w:val="00F53D05"/>
    <w:rsid w:val="00F543D1"/>
    <w:rsid w:val="00F54A95"/>
    <w:rsid w:val="00F6262E"/>
    <w:rsid w:val="00F62D0A"/>
    <w:rsid w:val="00F656AF"/>
    <w:rsid w:val="00F71D4C"/>
    <w:rsid w:val="00F72D8C"/>
    <w:rsid w:val="00F75637"/>
    <w:rsid w:val="00F75788"/>
    <w:rsid w:val="00F76139"/>
    <w:rsid w:val="00F7633D"/>
    <w:rsid w:val="00F77D76"/>
    <w:rsid w:val="00F81AA4"/>
    <w:rsid w:val="00F81E71"/>
    <w:rsid w:val="00F834F1"/>
    <w:rsid w:val="00F836E6"/>
    <w:rsid w:val="00F84368"/>
    <w:rsid w:val="00F8547B"/>
    <w:rsid w:val="00F86664"/>
    <w:rsid w:val="00F9146E"/>
    <w:rsid w:val="00F9279E"/>
    <w:rsid w:val="00F9477D"/>
    <w:rsid w:val="00F965DD"/>
    <w:rsid w:val="00FA0773"/>
    <w:rsid w:val="00FA27AA"/>
    <w:rsid w:val="00FA306E"/>
    <w:rsid w:val="00FA325B"/>
    <w:rsid w:val="00FA429A"/>
    <w:rsid w:val="00FA64A2"/>
    <w:rsid w:val="00FA73E9"/>
    <w:rsid w:val="00FB4DF5"/>
    <w:rsid w:val="00FB552E"/>
    <w:rsid w:val="00FB59D8"/>
    <w:rsid w:val="00FB60D6"/>
    <w:rsid w:val="00FB7340"/>
    <w:rsid w:val="00FB76FD"/>
    <w:rsid w:val="00FB776E"/>
    <w:rsid w:val="00FC1582"/>
    <w:rsid w:val="00FC1A28"/>
    <w:rsid w:val="00FC27F8"/>
    <w:rsid w:val="00FC2F4A"/>
    <w:rsid w:val="00FC4114"/>
    <w:rsid w:val="00FC44A2"/>
    <w:rsid w:val="00FC544F"/>
    <w:rsid w:val="00FD1ECB"/>
    <w:rsid w:val="00FD32D3"/>
    <w:rsid w:val="00FD416C"/>
    <w:rsid w:val="00FE311F"/>
    <w:rsid w:val="00FE5471"/>
    <w:rsid w:val="00FE70FF"/>
    <w:rsid w:val="00FF3A5C"/>
    <w:rsid w:val="00FF55B5"/>
    <w:rsid w:val="00FF6E33"/>
    <w:rsid w:val="00FF7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b/>
      <w:sz w:val="22"/>
    </w:rPr>
  </w:style>
  <w:style w:type="paragraph" w:styleId="Heading2">
    <w:name w:val="heading 2"/>
    <w:basedOn w:val="Normal"/>
    <w:next w:val="Normal"/>
    <w:qFormat/>
    <w:pPr>
      <w:keepNext/>
      <w:spacing w:before="60"/>
      <w:jc w:val="center"/>
      <w:outlineLvl w:val="1"/>
    </w:pPr>
    <w:rPr>
      <w:rFonts w:ascii="Arial" w:hAnsi="Arial"/>
      <w:b/>
    </w:rPr>
  </w:style>
  <w:style w:type="paragraph" w:styleId="Heading3">
    <w:name w:val="heading 3"/>
    <w:basedOn w:val="Normal"/>
    <w:next w:val="Normal"/>
    <w:qFormat/>
    <w:pPr>
      <w:keepNext/>
      <w:ind w:left="360"/>
      <w:jc w:val="both"/>
      <w:outlineLvl w:val="2"/>
    </w:pPr>
    <w:rPr>
      <w:i/>
      <w:iCs/>
      <w:color w:val="FF0000"/>
      <w:sz w:val="22"/>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ind w:right="144"/>
      <w:jc w:val="both"/>
      <w:outlineLvl w:val="4"/>
    </w:pPr>
    <w:rPr>
      <w:sz w:val="22"/>
      <w:u w:val="single"/>
    </w:rPr>
  </w:style>
  <w:style w:type="paragraph" w:styleId="Heading6">
    <w:name w:val="heading 6"/>
    <w:basedOn w:val="Normal"/>
    <w:next w:val="Normal"/>
    <w:qFormat/>
    <w:pPr>
      <w:keepNext/>
      <w:tabs>
        <w:tab w:val="left" w:pos="360"/>
      </w:tabs>
      <w:jc w:val="center"/>
      <w:outlineLvl w:val="5"/>
    </w:pPr>
    <w:rPr>
      <w:b/>
      <w:sz w:val="22"/>
    </w:rPr>
  </w:style>
  <w:style w:type="paragraph" w:styleId="Heading7">
    <w:name w:val="heading 7"/>
    <w:basedOn w:val="Normal"/>
    <w:next w:val="Normal"/>
    <w:link w:val="Heading7Char"/>
    <w:qFormat/>
    <w:pPr>
      <w:keepNext/>
      <w:tabs>
        <w:tab w:val="left" w:pos="360"/>
      </w:tabs>
      <w:ind w:left="720" w:hanging="720"/>
      <w:jc w:val="both"/>
      <w:outlineLvl w:val="6"/>
    </w:pPr>
    <w:rPr>
      <w:b/>
      <w:sz w:val="22"/>
    </w:rPr>
  </w:style>
  <w:style w:type="paragraph" w:styleId="Heading8">
    <w:name w:val="heading 8"/>
    <w:basedOn w:val="Normal"/>
    <w:next w:val="Normal"/>
    <w:qFormat/>
    <w:pPr>
      <w:keepNext/>
      <w:ind w:left="720"/>
      <w:jc w:val="both"/>
      <w:outlineLvl w:val="7"/>
    </w:pPr>
    <w:rPr>
      <w:b/>
      <w:bCs/>
      <w:sz w:val="22"/>
    </w:rPr>
  </w:style>
  <w:style w:type="paragraph" w:styleId="Heading9">
    <w:name w:val="heading 9"/>
    <w:basedOn w:val="Normal"/>
    <w:next w:val="Normal"/>
    <w:qFormat/>
    <w:pPr>
      <w:keepNext/>
      <w:tabs>
        <w:tab w:val="left" w:pos="360"/>
      </w:tabs>
      <w:jc w:val="right"/>
      <w:outlineLvl w:val="8"/>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360"/>
      </w:tabs>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360"/>
      </w:tabs>
      <w:ind w:left="360"/>
      <w:jc w:val="both"/>
    </w:pPr>
    <w:rPr>
      <w:b/>
    </w:rPr>
  </w:style>
  <w:style w:type="paragraph" w:customStyle="1" w:styleId="BodyText31">
    <w:name w:val="Body Text 3.1"/>
    <w:basedOn w:val="BodyText3"/>
    <w:autoRedefine/>
    <w:pPr>
      <w:tabs>
        <w:tab w:val="left" w:pos="360"/>
      </w:tabs>
      <w:spacing w:after="0"/>
      <w:ind w:left="720"/>
      <w:jc w:val="both"/>
    </w:pPr>
    <w:rPr>
      <w:sz w:val="22"/>
    </w:rPr>
  </w:style>
  <w:style w:type="paragraph" w:styleId="BodyText3">
    <w:name w:val="Body Text 3"/>
    <w:basedOn w:val="Normal"/>
    <w:pPr>
      <w:spacing w:after="120"/>
    </w:pPr>
    <w:rPr>
      <w:sz w:val="16"/>
    </w:rPr>
  </w:style>
  <w:style w:type="paragraph" w:styleId="BodyTextIndent3">
    <w:name w:val="Body Text Indent 3"/>
    <w:basedOn w:val="Normal"/>
    <w:pPr>
      <w:tabs>
        <w:tab w:val="left" w:pos="360"/>
      </w:tabs>
      <w:ind w:firstLine="360"/>
      <w:jc w:val="both"/>
    </w:pPr>
    <w:rPr>
      <w:color w:val="0000FF"/>
      <w:sz w:val="22"/>
    </w:rPr>
  </w:style>
  <w:style w:type="paragraph" w:styleId="BodyText">
    <w:name w:val="Body Text"/>
    <w:basedOn w:val="Normal"/>
    <w:rPr>
      <w:rFonts w:ascii="Arial" w:hAnsi="Arial" w:cs="Arial"/>
      <w:sz w:val="22"/>
      <w:szCs w:val="24"/>
    </w:rPr>
  </w:style>
  <w:style w:type="paragraph" w:styleId="BlockText">
    <w:name w:val="Block Text"/>
    <w:basedOn w:val="Normal"/>
    <w:pPr>
      <w:tabs>
        <w:tab w:val="left" w:pos="360"/>
      </w:tabs>
      <w:ind w:left="360" w:right="389" w:hanging="360"/>
      <w:jc w:val="both"/>
    </w:pPr>
    <w:rPr>
      <w:bCs/>
      <w:sz w:val="22"/>
    </w:rPr>
  </w:style>
  <w:style w:type="character" w:styleId="Hyperlink">
    <w:name w:val="Hyperlink"/>
    <w:rPr>
      <w:color w:val="0000FF"/>
      <w:u w:val="single"/>
    </w:rPr>
  </w:style>
  <w:style w:type="table" w:styleId="TableGrid">
    <w:name w:val="Table Grid"/>
    <w:basedOn w:val="TableNormal"/>
    <w:rsid w:val="0084470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Default">
    <w:name w:val="Default"/>
    <w:rsid w:val="00D93F7F"/>
    <w:pPr>
      <w:autoSpaceDE w:val="0"/>
      <w:autoSpaceDN w:val="0"/>
      <w:adjustRightInd w:val="0"/>
    </w:pPr>
    <w:rPr>
      <w:rFonts w:ascii="Arial" w:eastAsia="Calibri" w:hAnsi="Arial" w:cs="Arial"/>
      <w:color w:val="000000"/>
      <w:sz w:val="24"/>
      <w:szCs w:val="24"/>
      <w:lang w:eastAsia="en-US"/>
    </w:rPr>
  </w:style>
  <w:style w:type="character" w:customStyle="1" w:styleId="Heading7Char">
    <w:name w:val="Heading 7 Char"/>
    <w:link w:val="Heading7"/>
    <w:rsid w:val="007C6CC3"/>
    <w:rPr>
      <w:b/>
      <w:sz w:val="22"/>
      <w:lang w:val="en-US" w:eastAsia="en-US" w:bidi="ar-SA"/>
    </w:rPr>
  </w:style>
  <w:style w:type="paragraph" w:styleId="Date">
    <w:name w:val="Date"/>
    <w:basedOn w:val="Normal"/>
    <w:next w:val="Normal"/>
    <w:link w:val="DateChar"/>
    <w:rsid w:val="00E2422B"/>
  </w:style>
  <w:style w:type="character" w:customStyle="1" w:styleId="DateChar">
    <w:name w:val="Date Char"/>
    <w:link w:val="Date"/>
    <w:rsid w:val="00E2422B"/>
    <w:rPr>
      <w:lang w:eastAsia="en-US"/>
    </w:rPr>
  </w:style>
  <w:style w:type="character" w:customStyle="1" w:styleId="FooterChar">
    <w:name w:val="Footer Char"/>
    <w:link w:val="Footer"/>
    <w:uiPriority w:val="99"/>
    <w:rsid w:val="00BB1C01"/>
    <w:rPr>
      <w:lang w:eastAsia="en-US"/>
    </w:rPr>
  </w:style>
</w:styles>
</file>

<file path=word/webSettings.xml><?xml version="1.0" encoding="utf-8"?>
<w:webSettings xmlns:r="http://schemas.openxmlformats.org/officeDocument/2006/relationships" xmlns:w="http://schemas.openxmlformats.org/wordprocessingml/2006/main">
  <w:divs>
    <w:div w:id="15306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Microsoft_Office_Excel_97-2003_Worksheet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KLSE ANNOUNCEMENT</vt:lpstr>
    </vt:vector>
  </TitlesOfParts>
  <Company>SUPERMAX CORPORATION BERHAD</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KLSE ANNOUNCEMENT</dc:title>
  <dc:subject>4th QTR 2000</dc:subject>
  <dc:creator>Miss Tan</dc:creator>
  <cp:keywords/>
  <dc:description/>
  <cp:lastModifiedBy>PC</cp:lastModifiedBy>
  <cp:revision>2</cp:revision>
  <cp:lastPrinted>2014-08-04T07:58:00Z</cp:lastPrinted>
  <dcterms:created xsi:type="dcterms:W3CDTF">2014-11-19T05:48:00Z</dcterms:created>
  <dcterms:modified xsi:type="dcterms:W3CDTF">2014-11-19T05:48:00Z</dcterms:modified>
</cp:coreProperties>
</file>